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F63A" w14:textId="6801E6BF" w:rsidR="00647AEA" w:rsidRPr="00EC2524" w:rsidRDefault="00647AEA" w:rsidP="00647AEA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EC2524">
        <w:rPr>
          <w:rFonts w:ascii="Verdana" w:hAnsi="Verdana" w:cs="Tahoma"/>
          <w:b/>
        </w:rPr>
        <w:t>Prot. N. DSC1/20</w:t>
      </w:r>
      <w:r w:rsidR="00EE439B">
        <w:rPr>
          <w:rFonts w:ascii="Verdana" w:hAnsi="Verdana" w:cs="Tahoma"/>
          <w:b/>
        </w:rPr>
        <w:t>20</w:t>
      </w:r>
      <w:r w:rsidRPr="00EC2524">
        <w:rPr>
          <w:rFonts w:ascii="Verdana" w:hAnsi="Verdana" w:cs="Tahoma"/>
          <w:b/>
        </w:rPr>
        <w:t>/</w:t>
      </w:r>
      <w:r w:rsidR="001920FC">
        <w:rPr>
          <w:rFonts w:ascii="Verdana" w:hAnsi="Verdana" w:cs="Tahoma"/>
          <w:b/>
        </w:rPr>
        <w:t>3</w:t>
      </w:r>
    </w:p>
    <w:p w14:paraId="1BCE04DC" w14:textId="6C3AAD23" w:rsidR="00647AEA" w:rsidRPr="00EC2524" w:rsidRDefault="00647AEA" w:rsidP="00647AEA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EC2524">
        <w:rPr>
          <w:rFonts w:ascii="Verdana" w:hAnsi="Verdana" w:cs="Tahoma"/>
          <w:b/>
        </w:rPr>
        <w:t xml:space="preserve">Del </w:t>
      </w:r>
      <w:r w:rsidR="00EE439B">
        <w:rPr>
          <w:rFonts w:ascii="Verdana" w:hAnsi="Verdana" w:cs="Tahoma"/>
          <w:b/>
        </w:rPr>
        <w:t xml:space="preserve">  27</w:t>
      </w:r>
      <w:r w:rsidRPr="00EC2524">
        <w:rPr>
          <w:rFonts w:ascii="Verdana" w:hAnsi="Verdana" w:cs="Tahoma"/>
          <w:b/>
        </w:rPr>
        <w:t>/</w:t>
      </w:r>
      <w:r w:rsidR="00EE439B">
        <w:rPr>
          <w:rFonts w:ascii="Verdana" w:hAnsi="Verdana" w:cs="Tahoma"/>
          <w:b/>
        </w:rPr>
        <w:t>1</w:t>
      </w:r>
      <w:r w:rsidRPr="00EC2524">
        <w:rPr>
          <w:rFonts w:ascii="Verdana" w:hAnsi="Verdana" w:cs="Tahoma"/>
          <w:b/>
        </w:rPr>
        <w:t>/</w:t>
      </w:r>
      <w:r w:rsidRPr="007A22B5">
        <w:rPr>
          <w:rFonts w:ascii="Verdana" w:hAnsi="Verdana" w:cs="Tahoma"/>
          <w:b/>
          <w:strike/>
        </w:rPr>
        <w:t>2019</w:t>
      </w:r>
      <w:r w:rsidR="007A22B5">
        <w:rPr>
          <w:rFonts w:ascii="Verdana" w:hAnsi="Verdana" w:cs="Tahoma"/>
          <w:b/>
        </w:rPr>
        <w:t xml:space="preserve"> </w:t>
      </w:r>
      <w:bookmarkStart w:id="0" w:name="_GoBack"/>
      <w:bookmarkEnd w:id="0"/>
      <w:r w:rsidR="007A22B5">
        <w:rPr>
          <w:rFonts w:ascii="Verdana" w:hAnsi="Verdana" w:cs="Tahoma"/>
          <w:b/>
        </w:rPr>
        <w:t>2020</w:t>
      </w:r>
      <w:r w:rsidRPr="00EC2524">
        <w:rPr>
          <w:rFonts w:ascii="Verdana" w:hAnsi="Verdana" w:cs="Tahoma"/>
          <w:b/>
        </w:rPr>
        <w:t xml:space="preserve">    </w:t>
      </w:r>
    </w:p>
    <w:p w14:paraId="499D3414" w14:textId="77777777" w:rsidR="00647AEA" w:rsidRPr="00EC2524" w:rsidRDefault="00647AEA" w:rsidP="00647AEA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2EE3BA09" w14:textId="71EE8F71" w:rsidR="00647AEA" w:rsidRPr="00EC2524" w:rsidRDefault="00647AEA" w:rsidP="00647AEA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r w:rsidRPr="00EC2524">
        <w:rPr>
          <w:rFonts w:ascii="Verdana" w:hAnsi="Verdana"/>
          <w:sz w:val="24"/>
          <w:szCs w:val="24"/>
          <w:u w:val="single"/>
        </w:rPr>
        <w:t xml:space="preserve">DETERMINAZIONE N. </w:t>
      </w:r>
      <w:r w:rsidR="001920FC">
        <w:rPr>
          <w:rFonts w:ascii="Verdana" w:hAnsi="Verdana"/>
          <w:sz w:val="24"/>
          <w:szCs w:val="24"/>
          <w:u w:val="single"/>
        </w:rPr>
        <w:t>3</w:t>
      </w:r>
    </w:p>
    <w:p w14:paraId="7164ABC8" w14:textId="77777777" w:rsidR="00647AEA" w:rsidRPr="00EC2524" w:rsidRDefault="00647AEA" w:rsidP="00647AEA">
      <w:pPr>
        <w:pStyle w:val="Testonormale"/>
        <w:rPr>
          <w:rFonts w:ascii="Calibri" w:hAnsi="Calibri"/>
          <w:sz w:val="24"/>
          <w:szCs w:val="24"/>
        </w:rPr>
      </w:pPr>
    </w:p>
    <w:p w14:paraId="3E1F008E" w14:textId="77777777" w:rsidR="00647AEA" w:rsidRPr="00EC2524" w:rsidRDefault="00647AEA" w:rsidP="00647AEA">
      <w:pPr>
        <w:spacing w:after="200"/>
        <w:jc w:val="both"/>
        <w:rPr>
          <w:rFonts w:ascii="Verdana" w:eastAsia="Times New Roman" w:hAnsi="Verdana" w:cs="Tahoma"/>
          <w:bCs/>
          <w:lang w:eastAsia="it-IT"/>
        </w:rPr>
      </w:pPr>
      <w:r w:rsidRPr="00EC2524">
        <w:rPr>
          <w:rFonts w:ascii="Verdana" w:eastAsia="Calibri" w:hAnsi="Verdana"/>
        </w:rPr>
        <w:t xml:space="preserve">Oggetto: Decreti n. 12 del 24 luglio 2019 - </w:t>
      </w:r>
      <w:r w:rsidRPr="00EC2524">
        <w:rPr>
          <w:rFonts w:ascii="Verdana" w:eastAsia="Times New Roman" w:hAnsi="Verdana" w:cs="Tahoma"/>
          <w:bCs/>
          <w:lang w:eastAsia="it-IT"/>
        </w:rPr>
        <w:t xml:space="preserve">concernente </w:t>
      </w:r>
      <w:r w:rsidRPr="00EC2524">
        <w:rPr>
          <w:rFonts w:ascii="Verdana" w:eastAsia="Calibri" w:hAnsi="Verdana"/>
        </w:rPr>
        <w:t xml:space="preserve">l’occupazione temporanea di aree di proprietà di </w:t>
      </w:r>
      <w:r w:rsidRPr="00EC2524">
        <w:rPr>
          <w:rFonts w:ascii="Verdana" w:hAnsi="Verdana" w:cs="Tahoma"/>
        </w:rPr>
        <w:t>Jonica Zuccheri S.r.l.</w:t>
      </w:r>
      <w:r w:rsidRPr="00EC2524">
        <w:rPr>
          <w:rFonts w:ascii="Verdana" w:eastAsia="Calibri" w:hAnsi="Verdana"/>
        </w:rPr>
        <w:t xml:space="preserve"> per l’esecuzione degli interventi di cui all’art. 1 del decreto-legge </w:t>
      </w:r>
      <w:r w:rsidRPr="00EC2524">
        <w:rPr>
          <w:rFonts w:ascii="Verdana" w:eastAsia="Times New Roman" w:hAnsi="Verdana" w:cs="Tahoma"/>
          <w:bCs/>
          <w:lang w:eastAsia="it-IT"/>
        </w:rPr>
        <w:t>28 settembre 2018, n. 109, convertito con legge 16 novembre 2018, n. 130, recante</w:t>
      </w:r>
      <w:r w:rsidRPr="00EC2524">
        <w:rPr>
          <w:rFonts w:ascii="Verdana" w:eastAsia="Calibri" w:hAnsi="Verdana"/>
        </w:rPr>
        <w:t xml:space="preserve"> “</w:t>
      </w:r>
      <w:r w:rsidRPr="00EC2524">
        <w:rPr>
          <w:rFonts w:ascii="Verdana" w:eastAsia="Calibri" w:hAnsi="Verdana"/>
          <w:i/>
        </w:rPr>
        <w:t>Disposizioni urgenti per la città di Genova, la sicurezza della rete nazionale delle infrastrutture e dei trasporti, gli eventi sismici del 2016 e 2017, il lavoro e le altre emergenze</w:t>
      </w:r>
      <w:r w:rsidRPr="00EC2524">
        <w:rPr>
          <w:rFonts w:ascii="Verdana" w:eastAsia="Calibri" w:hAnsi="Verdana"/>
        </w:rPr>
        <w:t>” - e n. 3 del 14 gennaio 2020 – concernente la revoca del decreto n. 12 del 24 luglio 2019 e la cessazione degli effetti giuridici ed economici dell’occupazione temporanea delle aree ivi disposta – Liquidazione dell’indennità di occupazione temporanea</w:t>
      </w:r>
    </w:p>
    <w:p w14:paraId="46652CD0" w14:textId="77777777" w:rsidR="00647AEA" w:rsidRPr="00EC2524" w:rsidRDefault="00647AEA" w:rsidP="00647AEA">
      <w:pPr>
        <w:pStyle w:val="Testonormale"/>
        <w:spacing w:before="120" w:after="200" w:line="276" w:lineRule="auto"/>
        <w:jc w:val="center"/>
        <w:rPr>
          <w:rFonts w:ascii="Verdana" w:hAnsi="Verdana"/>
          <w:sz w:val="24"/>
          <w:szCs w:val="24"/>
        </w:rPr>
      </w:pPr>
      <w:r w:rsidRPr="00EC2524">
        <w:rPr>
          <w:rFonts w:ascii="Verdana" w:hAnsi="Verdana"/>
          <w:sz w:val="24"/>
          <w:szCs w:val="24"/>
        </w:rPr>
        <w:t>IL SUB-COMMISSARIO STRAORDINARIO PER LA RICOSTRUZIONE</w:t>
      </w:r>
    </w:p>
    <w:p w14:paraId="3275109D" w14:textId="77777777" w:rsidR="00647AEA" w:rsidRPr="00EC2524" w:rsidRDefault="00647AEA" w:rsidP="00647AEA">
      <w:pPr>
        <w:spacing w:after="200" w:line="276" w:lineRule="auto"/>
        <w:ind w:firstLine="709"/>
        <w:jc w:val="both"/>
        <w:rPr>
          <w:rFonts w:ascii="Verdana" w:eastAsia="Calibri" w:hAnsi="Verdana"/>
        </w:rPr>
      </w:pPr>
      <w:r w:rsidRPr="00EC2524">
        <w:rPr>
          <w:rFonts w:ascii="Verdana" w:eastAsia="Calibri" w:hAnsi="Verdana"/>
        </w:rPr>
        <w:t xml:space="preserve">- visto il </w:t>
      </w:r>
      <w:r w:rsidRPr="00EC2524">
        <w:rPr>
          <w:rFonts w:ascii="Verdana" w:eastAsia="Times New Roman" w:hAnsi="Verdana" w:cs="Tahoma"/>
          <w:bCs/>
          <w:lang w:eastAsia="it-IT"/>
        </w:rPr>
        <w:t>decreto-legge 28 settembre 2018, n. 109, convertito con legge 16 novembre 2018, n. 130, recante</w:t>
      </w:r>
      <w:r w:rsidRPr="00EC2524">
        <w:rPr>
          <w:rFonts w:ascii="Verdana" w:eastAsia="Calibri" w:hAnsi="Verdana"/>
        </w:rPr>
        <w:t xml:space="preserve"> “</w:t>
      </w:r>
      <w:r w:rsidRPr="00EC2524">
        <w:rPr>
          <w:rFonts w:ascii="Verdana" w:eastAsia="Calibri" w:hAnsi="Verdana"/>
          <w:i/>
        </w:rPr>
        <w:t>Disposizioni urgenti per la città di Genova, la sicurezza della rete nazionale delle infrastrutture e dei trasporti, gli eventi sismici del 2016 e 2017, il lavoro e le altre emergenze</w:t>
      </w:r>
      <w:r w:rsidRPr="00EC2524">
        <w:rPr>
          <w:rFonts w:ascii="Verdana" w:eastAsia="Calibri" w:hAnsi="Verdana"/>
        </w:rPr>
        <w:t>”;</w:t>
      </w:r>
    </w:p>
    <w:p w14:paraId="500B23D6" w14:textId="77777777" w:rsidR="00647AEA" w:rsidRPr="00EC2524" w:rsidRDefault="00647AEA" w:rsidP="00647A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EC2524">
        <w:rPr>
          <w:rFonts w:ascii="Verdana" w:eastAsia="Times New Roman" w:hAnsi="Verdana" w:cs="Tahoma"/>
          <w:bCs/>
          <w:color w:val="000000" w:themeColor="text1"/>
          <w:lang w:eastAsia="it-IT"/>
        </w:rPr>
        <w:t xml:space="preserve">- visto il </w:t>
      </w:r>
      <w:r w:rsidRPr="00EC2524">
        <w:rPr>
          <w:rFonts w:ascii="Verdana" w:eastAsia="Times New Roman" w:hAnsi="Verdana" w:cs="Tahoma"/>
          <w:bCs/>
          <w:lang w:eastAsia="it-IT"/>
        </w:rPr>
        <w:t>decreto del Commissario straordinario n. 1 del 13 novembre 2018, recante la “</w:t>
      </w:r>
      <w:r w:rsidRPr="00EC2524">
        <w:rPr>
          <w:rFonts w:ascii="Verdana" w:eastAsia="Times New Roman" w:hAnsi="Verdana" w:cs="Tahoma"/>
          <w:bCs/>
          <w:i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EC2524">
        <w:rPr>
          <w:rFonts w:ascii="Verdana" w:eastAsia="Times New Roman" w:hAnsi="Verdana" w:cs="Tahoma"/>
          <w:bCs/>
          <w:lang w:eastAsia="it-IT"/>
        </w:rPr>
        <w:t>”, a mezzo del quale sono state conferite al dott. Piero Floreani “</w:t>
      </w:r>
      <w:r w:rsidRPr="00EC2524">
        <w:rPr>
          <w:rFonts w:ascii="Verdana" w:eastAsia="Times New Roman" w:hAnsi="Verdana" w:cs="Tahoma"/>
          <w:bCs/>
          <w:i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EC2524">
        <w:rPr>
          <w:rFonts w:ascii="Verdana" w:eastAsia="Times New Roman" w:hAnsi="Verdana" w:cs="Tahoma"/>
          <w:bCs/>
          <w:lang w:eastAsia="it-IT"/>
        </w:rPr>
        <w:t>”;</w:t>
      </w:r>
    </w:p>
    <w:p w14:paraId="566AA98C" w14:textId="77777777" w:rsidR="00647AEA" w:rsidRPr="00EC2524" w:rsidRDefault="00647AEA" w:rsidP="00647AEA">
      <w:pPr>
        <w:pStyle w:val="Paragrafoelenco"/>
        <w:spacing w:after="200" w:line="276" w:lineRule="auto"/>
        <w:ind w:left="142" w:firstLine="927"/>
        <w:jc w:val="both"/>
        <w:rPr>
          <w:rFonts w:ascii="Verdana" w:eastAsia="Calibri" w:hAnsi="Verdana"/>
        </w:rPr>
      </w:pPr>
      <w:r w:rsidRPr="00EC2524">
        <w:rPr>
          <w:rFonts w:ascii="Verdana" w:eastAsia="Calibri" w:hAnsi="Verdana"/>
        </w:rPr>
        <w:t>- visto il decreto del Commissario straordinario n. 36 del 2 ottobre 2019 recante “</w:t>
      </w:r>
      <w:r w:rsidRPr="00EC2524">
        <w:rPr>
          <w:rFonts w:ascii="Verdana" w:eastAsia="Calibri" w:hAnsi="Verdana"/>
          <w:i/>
        </w:rPr>
        <w:t xml:space="preserve">Conferma di nomine, incarichi e componenti della struttura di supporto al Commissario Straordinario”, </w:t>
      </w:r>
      <w:r w:rsidRPr="00EC2524">
        <w:rPr>
          <w:rFonts w:ascii="Verdana" w:eastAsia="Calibri" w:hAnsi="Verdana"/>
        </w:rPr>
        <w:t xml:space="preserve">con il quale sono stati confermati, per la durata della </w:t>
      </w:r>
      <w:r w:rsidRPr="00EC2524">
        <w:rPr>
          <w:rFonts w:ascii="Verdana" w:eastAsia="Calibri" w:hAnsi="Verdana"/>
        </w:rPr>
        <w:lastRenderedPageBreak/>
        <w:t xml:space="preserve">proroga dell’incarico di Commissario Straordinario, il </w:t>
      </w:r>
      <w:r w:rsidRPr="00EC2524">
        <w:rPr>
          <w:rFonts w:ascii="Verdana" w:eastAsia="Calibri" w:hAnsi="Verdana"/>
          <w:i/>
          <w:iCs/>
        </w:rPr>
        <w:t>sub</w:t>
      </w:r>
      <w:r w:rsidRPr="00EC2524">
        <w:rPr>
          <w:rFonts w:ascii="Verdana" w:eastAsia="Calibri" w:hAnsi="Verdana"/>
        </w:rPr>
        <w:t>-commissario dott. Piero Floreani e le relative deleghe;</w:t>
      </w:r>
    </w:p>
    <w:p w14:paraId="54F753C6" w14:textId="77777777" w:rsidR="00647AEA" w:rsidRPr="00EC2524" w:rsidRDefault="00647AEA" w:rsidP="00647A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EC2524">
        <w:rPr>
          <w:rFonts w:ascii="Verdana" w:eastAsia="Times New Roman" w:hAnsi="Verdana" w:cs="Tahoma"/>
          <w:bCs/>
          <w:lang w:eastAsia="it-IT"/>
        </w:rPr>
        <w:t>- considerato che i provvedimenti concernenti l’occupazione temporanea di aree</w:t>
      </w:r>
      <w:r w:rsidRPr="00EC2524">
        <w:rPr>
          <w:rFonts w:ascii="Verdana" w:eastAsia="Calibri" w:hAnsi="Verdana"/>
        </w:rPr>
        <w:t xml:space="preserve"> o impositivi di limitazioni all’esercizio del diritto di proprietà, nonché quelli ad essi consequenziali, </w:t>
      </w:r>
      <w:r w:rsidRPr="00EC2524">
        <w:rPr>
          <w:rFonts w:ascii="Verdana" w:eastAsia="Times New Roman" w:hAnsi="Verdana" w:cs="Tahoma"/>
          <w:bCs/>
          <w:lang w:eastAsia="it-IT"/>
        </w:rPr>
        <w:t>ineriscono all’oggetto della delega conferita e confermata coi i decreti di cui ai punti precedenti;</w:t>
      </w:r>
    </w:p>
    <w:p w14:paraId="2F55ACB2" w14:textId="77777777" w:rsidR="00647AEA" w:rsidRPr="00EC2524" w:rsidRDefault="00647AEA" w:rsidP="00647A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EC2524">
        <w:rPr>
          <w:rFonts w:ascii="Verdana" w:eastAsia="Times New Roman" w:hAnsi="Verdana" w:cs="Tahoma"/>
          <w:bCs/>
          <w:lang w:eastAsia="it-IT"/>
        </w:rPr>
        <w:t>- visto il decreto del Presidente della Repubblica 8 giugno 2001, n. 327;</w:t>
      </w:r>
    </w:p>
    <w:p w14:paraId="04CEF35F" w14:textId="77777777" w:rsidR="00647AEA" w:rsidRPr="00EC2524" w:rsidRDefault="00647AEA" w:rsidP="00647AEA">
      <w:pPr>
        <w:spacing w:after="200" w:line="276" w:lineRule="auto"/>
        <w:ind w:firstLine="567"/>
        <w:jc w:val="both"/>
        <w:rPr>
          <w:rFonts w:ascii="Verdana" w:eastAsia="Calibri" w:hAnsi="Verdana"/>
        </w:rPr>
      </w:pPr>
      <w:r w:rsidRPr="00EC2524">
        <w:rPr>
          <w:rFonts w:ascii="Verdana" w:eastAsia="Times New Roman" w:hAnsi="Verdana" w:cs="Tahoma"/>
          <w:bCs/>
          <w:lang w:eastAsia="it-IT"/>
        </w:rPr>
        <w:t xml:space="preserve">- visto il decreto n. 12 del 24 luglio 2019 a mezzo del quale questo </w:t>
      </w:r>
      <w:r w:rsidRPr="00EC2524">
        <w:rPr>
          <w:rFonts w:ascii="Verdana" w:eastAsia="Times New Roman" w:hAnsi="Verdana" w:cs="Tahoma"/>
          <w:bCs/>
          <w:i/>
          <w:lang w:eastAsia="it-IT"/>
        </w:rPr>
        <w:t>sub</w:t>
      </w:r>
      <w:r w:rsidRPr="00EC2524">
        <w:rPr>
          <w:rFonts w:ascii="Verdana" w:eastAsia="Times New Roman" w:hAnsi="Verdana" w:cs="Tahoma"/>
          <w:bCs/>
          <w:lang w:eastAsia="it-IT"/>
        </w:rPr>
        <w:t xml:space="preserve"> commissario ha disposto </w:t>
      </w:r>
      <w:r w:rsidRPr="00EC2524">
        <w:rPr>
          <w:rFonts w:ascii="Verdana" w:eastAsia="Calibri" w:hAnsi="Verdana"/>
        </w:rPr>
        <w:t xml:space="preserve">l’occupazione temporanea di aree, </w:t>
      </w:r>
      <w:r w:rsidRPr="00EC2524">
        <w:rPr>
          <w:rFonts w:ascii="Verdana" w:hAnsi="Verdana" w:cs="Verdana"/>
        </w:rPr>
        <w:t xml:space="preserve">interessate agli </w:t>
      </w:r>
      <w:r w:rsidRPr="00EC2524">
        <w:rPr>
          <w:rFonts w:ascii="Verdana" w:eastAsia="Calibri" w:hAnsi="Verdana"/>
        </w:rPr>
        <w:t xml:space="preserve">interventi di cui all’art. 1 del decreto-legge </w:t>
      </w:r>
      <w:r w:rsidRPr="00EC2524">
        <w:rPr>
          <w:rFonts w:ascii="Verdana" w:eastAsia="Times New Roman" w:hAnsi="Verdana" w:cs="Tahoma"/>
          <w:bCs/>
          <w:lang w:eastAsia="it-IT"/>
        </w:rPr>
        <w:t>28 settembre 2018, n. 109, convertito con legge 16 novembre 2018, n. 130, di proprietà Jonica Zuccheri S.r.l</w:t>
      </w:r>
      <w:r w:rsidRPr="00EC2524">
        <w:rPr>
          <w:rFonts w:ascii="Verdana" w:eastAsia="Calibri" w:hAnsi="Verdana"/>
        </w:rPr>
        <w:t>.</w:t>
      </w:r>
      <w:r w:rsidRPr="00EC2524">
        <w:rPr>
          <w:rFonts w:ascii="Verdana" w:eastAsia="Times New Roman" w:hAnsi="Verdana" w:cs="Tahoma"/>
          <w:bCs/>
          <w:lang w:eastAsia="it-IT"/>
        </w:rPr>
        <w:t>, con sede in Genova, C.F. 01307630994,</w:t>
      </w:r>
      <w:r w:rsidRPr="00EC2524">
        <w:rPr>
          <w:rFonts w:ascii="Verdana" w:hAnsi="Verdana" w:cs="Verdana"/>
        </w:rPr>
        <w:t xml:space="preserve"> per la durata di mesi dodici a far tempo dalla data di immissione nel possesso, salva la possibilità di proroghe imposte dall’effettivo andamento del programma di esecuzione dei lavori di costruzione, aree</w:t>
      </w:r>
      <w:r w:rsidRPr="00EC2524">
        <w:rPr>
          <w:rFonts w:ascii="Verdana" w:eastAsia="Times New Roman" w:hAnsi="Verdana" w:cs="Tahoma"/>
          <w:bCs/>
          <w:lang w:eastAsia="it-IT"/>
        </w:rPr>
        <w:t xml:space="preserve"> individuate e perimetrate </w:t>
      </w:r>
      <w:r w:rsidRPr="00EC2524">
        <w:rPr>
          <w:rFonts w:ascii="Verdana" w:hAnsi="Verdana" w:cs="Verdana"/>
        </w:rPr>
        <w:t xml:space="preserve">nella cartografia allegata allo stesso </w:t>
      </w:r>
      <w:r w:rsidRPr="00EC2524">
        <w:rPr>
          <w:rFonts w:ascii="Verdana" w:hAnsi="Verdana" w:cs="Tahoma"/>
        </w:rPr>
        <w:t xml:space="preserve">decreto con contorno in tinta verde [planimetria catastale in scala 1:2000 (allegato A)] per una superficie complessiva pari a circa mq. 4.222, e </w:t>
      </w:r>
      <w:r w:rsidRPr="00EC2524">
        <w:rPr>
          <w:rFonts w:ascii="Verdana" w:hAnsi="Verdana" w:cs="Verdana"/>
        </w:rPr>
        <w:t>precisamente:</w:t>
      </w:r>
    </w:p>
    <w:p w14:paraId="125B3AA9" w14:textId="77777777" w:rsidR="00647AEA" w:rsidRPr="00EC2524" w:rsidRDefault="00647AEA" w:rsidP="00647AEA">
      <w:pPr>
        <w:spacing w:after="200" w:line="276" w:lineRule="auto"/>
        <w:ind w:left="930"/>
        <w:jc w:val="both"/>
        <w:rPr>
          <w:rFonts w:ascii="Verdana" w:hAnsi="Verdana" w:cs="Tahoma"/>
        </w:rPr>
      </w:pPr>
      <w:r w:rsidRPr="00EC2524">
        <w:rPr>
          <w:rFonts w:ascii="Verdana" w:hAnsi="Verdana" w:cs="Verdana"/>
        </w:rPr>
        <w:t>-</w:t>
      </w:r>
      <w:r w:rsidRPr="00EC2524">
        <w:rPr>
          <w:rFonts w:ascii="Verdana" w:hAnsi="Verdana" w:cs="Tahoma"/>
        </w:rPr>
        <w:t xml:space="preserve"> immobile iscritto a Catasto Terreni di Genova, sezione 3^, foglio 75, mappale 422, sem. irrig. arb., cl. 2, superficie mq. 42;</w:t>
      </w:r>
    </w:p>
    <w:p w14:paraId="50E6333F" w14:textId="77777777" w:rsidR="00647AEA" w:rsidRPr="00EC2524" w:rsidRDefault="00647AEA" w:rsidP="00647AEA">
      <w:pPr>
        <w:spacing w:after="200" w:line="276" w:lineRule="auto"/>
        <w:ind w:left="928"/>
        <w:jc w:val="both"/>
        <w:rPr>
          <w:rFonts w:ascii="Verdana" w:hAnsi="Verdana" w:cs="Tahoma"/>
        </w:rPr>
      </w:pPr>
      <w:r w:rsidRPr="00EC2524">
        <w:rPr>
          <w:rFonts w:ascii="Verdana" w:hAnsi="Verdana" w:cs="Verdana"/>
        </w:rPr>
        <w:t>-</w:t>
      </w:r>
      <w:r w:rsidRPr="00EC2524">
        <w:rPr>
          <w:rFonts w:ascii="Verdana" w:hAnsi="Verdana" w:cs="Tahoma"/>
        </w:rPr>
        <w:t xml:space="preserve"> immobile iscritto a Catasto Terreni di Genova, sezione 3^, foglio 75, mappale 194, sem. irrig. arb., cl. 2, per la porzione di mq. 640;</w:t>
      </w:r>
    </w:p>
    <w:p w14:paraId="2A48C72A" w14:textId="77777777" w:rsidR="00647AEA" w:rsidRPr="00EC2524" w:rsidRDefault="00647AEA" w:rsidP="00647AEA">
      <w:pPr>
        <w:spacing w:after="200" w:line="276" w:lineRule="auto"/>
        <w:ind w:left="928"/>
        <w:jc w:val="both"/>
        <w:rPr>
          <w:rFonts w:ascii="Verdana" w:hAnsi="Verdana" w:cs="Tahoma"/>
        </w:rPr>
      </w:pPr>
      <w:r w:rsidRPr="00EC2524">
        <w:rPr>
          <w:rFonts w:ascii="Verdana" w:hAnsi="Verdana" w:cs="Verdana"/>
        </w:rPr>
        <w:t>-</w:t>
      </w:r>
      <w:r w:rsidRPr="00EC2524">
        <w:rPr>
          <w:rFonts w:ascii="Verdana" w:hAnsi="Verdana" w:cs="Tahoma"/>
        </w:rPr>
        <w:t xml:space="preserve"> immobile iscritto a Catasto Terreni di Genova, sezione 3^, foglio 75, mappale 157, sem. irrig. arb., cl. 2, per la porzione di mq. 950;</w:t>
      </w:r>
    </w:p>
    <w:p w14:paraId="450D507A" w14:textId="77777777" w:rsidR="00647AEA" w:rsidRPr="00EC2524" w:rsidRDefault="00647AEA" w:rsidP="00647AEA">
      <w:pPr>
        <w:spacing w:after="200" w:line="276" w:lineRule="auto"/>
        <w:ind w:left="928"/>
        <w:jc w:val="both"/>
        <w:rPr>
          <w:rFonts w:ascii="Verdana" w:hAnsi="Verdana" w:cs="Tahoma"/>
        </w:rPr>
      </w:pPr>
      <w:r w:rsidRPr="00EC2524">
        <w:rPr>
          <w:rFonts w:ascii="Verdana" w:hAnsi="Verdana" w:cs="Verdana"/>
        </w:rPr>
        <w:t>-</w:t>
      </w:r>
      <w:r w:rsidRPr="00EC2524">
        <w:rPr>
          <w:rFonts w:ascii="Verdana" w:hAnsi="Verdana" w:cs="Tahoma"/>
        </w:rPr>
        <w:t xml:space="preserve"> immobile iscritto a Catasto Terreni di Genova, sezione 3^, foglio 75, mappale 153, sem. irrig. arb., cl. 2, per la porzione di mq. 1.610;</w:t>
      </w:r>
    </w:p>
    <w:p w14:paraId="2AD53755" w14:textId="77777777" w:rsidR="00647AEA" w:rsidRPr="00EC2524" w:rsidRDefault="00647AEA" w:rsidP="00647AEA">
      <w:pPr>
        <w:spacing w:after="200" w:line="276" w:lineRule="auto"/>
        <w:ind w:left="928"/>
        <w:jc w:val="both"/>
        <w:rPr>
          <w:rFonts w:ascii="Verdana" w:hAnsi="Verdana" w:cs="Tahoma"/>
        </w:rPr>
      </w:pPr>
      <w:r w:rsidRPr="00EC2524">
        <w:rPr>
          <w:rFonts w:ascii="Verdana" w:hAnsi="Verdana" w:cs="Tahoma"/>
        </w:rPr>
        <w:t>- immobile iscritto a Catasto Terreni di Genova, sezione 3^, foglio 75, mappale 152, orto irrig., cl. 5, superficie mq. 980,</w:t>
      </w:r>
    </w:p>
    <w:p w14:paraId="50B877A4" w14:textId="77777777" w:rsidR="00647AEA" w:rsidRPr="00EC2524" w:rsidRDefault="00647AEA" w:rsidP="00647AEA">
      <w:pPr>
        <w:spacing w:after="200" w:line="276" w:lineRule="auto"/>
        <w:jc w:val="both"/>
        <w:rPr>
          <w:rFonts w:ascii="Verdana" w:eastAsia="Calibri" w:hAnsi="Verdana"/>
        </w:rPr>
      </w:pPr>
      <w:r w:rsidRPr="00EC2524">
        <w:rPr>
          <w:rFonts w:ascii="Verdana" w:eastAsia="Times New Roman" w:hAnsi="Verdana" w:cs="Tahoma"/>
          <w:bCs/>
          <w:lang w:eastAsia="it-IT"/>
        </w:rPr>
        <w:t xml:space="preserve">nonché </w:t>
      </w:r>
      <w:r w:rsidRPr="00EC2524">
        <w:rPr>
          <w:rFonts w:ascii="Verdana" w:eastAsia="Calibri" w:hAnsi="Verdana"/>
        </w:rPr>
        <w:t>ha determinato l’indennità di occupazione nell’importo di € 351,83, in relazione al valore al mq. di € 1,00;</w:t>
      </w:r>
    </w:p>
    <w:p w14:paraId="4FD2BE85" w14:textId="77777777" w:rsidR="00647AEA" w:rsidRPr="00EC2524" w:rsidRDefault="00EC2524" w:rsidP="00EC2524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EC2524">
        <w:rPr>
          <w:rFonts w:ascii="Verdana" w:eastAsia="Times New Roman" w:hAnsi="Verdana" w:cs="Tahoma"/>
          <w:bCs/>
          <w:lang w:eastAsia="it-IT"/>
        </w:rPr>
        <w:lastRenderedPageBreak/>
        <w:t>- v</w:t>
      </w:r>
      <w:r w:rsidR="00647AEA" w:rsidRPr="00EC2524">
        <w:rPr>
          <w:rFonts w:ascii="Verdana" w:eastAsia="Times New Roman" w:hAnsi="Verdana" w:cs="Tahoma"/>
          <w:bCs/>
          <w:lang w:eastAsia="it-IT"/>
        </w:rPr>
        <w:t xml:space="preserve">isto il </w:t>
      </w:r>
      <w:r w:rsidR="00647AEA" w:rsidRPr="00EC2524">
        <w:rPr>
          <w:rFonts w:ascii="Verdana" w:eastAsia="Calibri" w:hAnsi="Verdana"/>
        </w:rPr>
        <w:t>decreto n. 3 del 14 gennaio 2010</w:t>
      </w:r>
      <w:r w:rsidRPr="00EC2524">
        <w:rPr>
          <w:rFonts w:ascii="Verdana" w:eastAsia="Calibri" w:hAnsi="Verdana"/>
        </w:rPr>
        <w:t xml:space="preserve">, a mezzo del quale è stata disposta la revoca e la </w:t>
      </w:r>
      <w:r w:rsidR="00647AEA" w:rsidRPr="00EC2524">
        <w:rPr>
          <w:rFonts w:ascii="Verdana" w:eastAsia="Calibri" w:hAnsi="Verdana"/>
        </w:rPr>
        <w:t>cessazione degli effetti giuridici ed economici del decreto n. 12 del 24 luglio 2019 (prot. n. DSC1/2019/92)</w:t>
      </w:r>
      <w:r w:rsidRPr="00EC2524">
        <w:rPr>
          <w:rFonts w:ascii="Verdana" w:eastAsia="Calibri" w:hAnsi="Verdana"/>
        </w:rPr>
        <w:t xml:space="preserve"> di cui al punto precedente;</w:t>
      </w:r>
    </w:p>
    <w:p w14:paraId="62E3DC64" w14:textId="77777777" w:rsidR="00647AEA" w:rsidRPr="00EC2524" w:rsidRDefault="00EC2524" w:rsidP="00647A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EC2524">
        <w:rPr>
          <w:rFonts w:ascii="Verdana" w:eastAsia="Times New Roman" w:hAnsi="Verdana" w:cs="Tahoma"/>
          <w:bCs/>
          <w:lang w:eastAsia="it-IT"/>
        </w:rPr>
        <w:t>- visto il verbale di restituzione delle aree, con contestuale stato di consistenza, prot. n. VRB 14 del 27 gennaio 2020;</w:t>
      </w:r>
    </w:p>
    <w:p w14:paraId="5A8ACDA1" w14:textId="77777777" w:rsidR="00647AEA" w:rsidRPr="00EC2524" w:rsidRDefault="00647AEA" w:rsidP="00647A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EC2524">
        <w:rPr>
          <w:rFonts w:ascii="Verdana" w:eastAsia="Times New Roman" w:hAnsi="Verdana" w:cs="Tahoma"/>
          <w:bCs/>
          <w:lang w:eastAsia="it-IT"/>
        </w:rPr>
        <w:t>- ritenuto di dover procedere alla liquidazione de</w:t>
      </w:r>
      <w:r w:rsidR="00EC2524" w:rsidRPr="00EC2524">
        <w:rPr>
          <w:rFonts w:ascii="Verdana" w:eastAsia="Times New Roman" w:hAnsi="Verdana" w:cs="Tahoma"/>
          <w:bCs/>
          <w:lang w:eastAsia="it-IT"/>
        </w:rPr>
        <w:t>ll’indennità di occupazione temporanea delle aree in questione, per il periodo intercorrente tra il 30 luglio 2019 ed il 27 gennaio 2020, nella misura di € 205,24;</w:t>
      </w:r>
    </w:p>
    <w:p w14:paraId="19FF8982" w14:textId="77777777" w:rsidR="00647AEA" w:rsidRPr="00EC2524" w:rsidRDefault="00647AEA" w:rsidP="00647AEA">
      <w:pPr>
        <w:spacing w:after="200" w:line="276" w:lineRule="auto"/>
        <w:ind w:left="360"/>
        <w:jc w:val="center"/>
        <w:rPr>
          <w:rFonts w:ascii="Verdana" w:hAnsi="Verdana" w:cs="Courier New"/>
        </w:rPr>
      </w:pPr>
      <w:r w:rsidRPr="00EC2524">
        <w:rPr>
          <w:rFonts w:ascii="Verdana" w:hAnsi="Verdana" w:cs="Courier New"/>
        </w:rPr>
        <w:t>DISPONE</w:t>
      </w:r>
    </w:p>
    <w:p w14:paraId="7B4B08E7" w14:textId="77777777" w:rsidR="00EC2524" w:rsidRPr="00EC2524" w:rsidRDefault="00647AEA" w:rsidP="00F3699D">
      <w:pPr>
        <w:pStyle w:val="Paragrafoelenco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Verdana" w:eastAsia="Calibri" w:hAnsi="Verdana"/>
        </w:rPr>
      </w:pPr>
      <w:r w:rsidRPr="00EC2524">
        <w:rPr>
          <w:rFonts w:ascii="Verdana" w:eastAsia="Calibri" w:hAnsi="Verdana"/>
        </w:rPr>
        <w:t>la liquidazione, in favore di</w:t>
      </w:r>
      <w:r w:rsidRPr="00EC2524">
        <w:rPr>
          <w:rFonts w:ascii="Verdana" w:hAnsi="Verdana" w:cs="Tahoma"/>
        </w:rPr>
        <w:t xml:space="preserve"> </w:t>
      </w:r>
      <w:r w:rsidR="00EC2524" w:rsidRPr="00EC2524">
        <w:rPr>
          <w:rFonts w:ascii="Verdana" w:eastAsia="Times New Roman" w:hAnsi="Verdana" w:cs="Tahoma"/>
          <w:bCs/>
          <w:lang w:eastAsia="it-IT"/>
        </w:rPr>
        <w:t>Jonica Zuccheri S.r.l</w:t>
      </w:r>
      <w:r w:rsidR="00EC2524" w:rsidRPr="00EC2524">
        <w:rPr>
          <w:rFonts w:ascii="Verdana" w:eastAsia="Calibri" w:hAnsi="Verdana"/>
        </w:rPr>
        <w:t>.</w:t>
      </w:r>
      <w:r w:rsidR="00EC2524" w:rsidRPr="00EC2524">
        <w:rPr>
          <w:rFonts w:ascii="Verdana" w:eastAsia="Times New Roman" w:hAnsi="Verdana" w:cs="Tahoma"/>
          <w:bCs/>
          <w:lang w:eastAsia="it-IT"/>
        </w:rPr>
        <w:t>, con sede in Genova, C.F. 01307630994,</w:t>
      </w:r>
      <w:r w:rsidR="00EC2524" w:rsidRPr="00EC2524">
        <w:rPr>
          <w:rFonts w:ascii="Verdana" w:hAnsi="Verdana" w:cs="Verdana"/>
        </w:rPr>
        <w:t xml:space="preserve"> </w:t>
      </w:r>
      <w:r w:rsidRPr="00EC2524">
        <w:rPr>
          <w:rFonts w:ascii="Verdana" w:eastAsia="Calibri" w:hAnsi="Verdana"/>
        </w:rPr>
        <w:t xml:space="preserve">dell’importo di € </w:t>
      </w:r>
      <w:r w:rsidR="00EC2524" w:rsidRPr="00EC2524">
        <w:rPr>
          <w:rFonts w:ascii="Verdana" w:eastAsia="Times New Roman" w:hAnsi="Verdana" w:cs="Tahoma"/>
          <w:bCs/>
          <w:lang w:eastAsia="it-IT"/>
        </w:rPr>
        <w:t>205,24</w:t>
      </w:r>
      <w:r w:rsidRPr="00EC2524">
        <w:rPr>
          <w:rFonts w:ascii="Verdana" w:eastAsia="Calibri" w:hAnsi="Verdana"/>
        </w:rPr>
        <w:t xml:space="preserve">, a titolo di </w:t>
      </w:r>
      <w:r w:rsidR="00EC2524" w:rsidRPr="00EC2524">
        <w:rPr>
          <w:rFonts w:ascii="Verdana" w:eastAsia="Calibri" w:hAnsi="Verdana"/>
        </w:rPr>
        <w:t xml:space="preserve">indennità </w:t>
      </w:r>
      <w:r w:rsidRPr="00EC2524">
        <w:rPr>
          <w:rFonts w:ascii="Verdana" w:eastAsia="Calibri" w:hAnsi="Verdana"/>
        </w:rPr>
        <w:t>di occupazione temporanea;</w:t>
      </w:r>
    </w:p>
    <w:p w14:paraId="08A18D78" w14:textId="77777777" w:rsidR="00EC2524" w:rsidRPr="00EC2524" w:rsidRDefault="00EC2524" w:rsidP="00F3699D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Verdana" w:eastAsia="Calibri" w:hAnsi="Verdana"/>
        </w:rPr>
      </w:pPr>
      <w:r w:rsidRPr="00EC2524">
        <w:rPr>
          <w:rFonts w:ascii="Verdana" w:eastAsia="Calibri" w:hAnsi="Verdana"/>
        </w:rPr>
        <w:t>la liquidazione, relativamente all’in</w:t>
      </w:r>
      <w:r>
        <w:rPr>
          <w:rFonts w:ascii="Verdana" w:eastAsia="Calibri" w:hAnsi="Verdana"/>
        </w:rPr>
        <w:t>d</w:t>
      </w:r>
      <w:r w:rsidRPr="00EC2524">
        <w:rPr>
          <w:rFonts w:ascii="Verdana" w:eastAsia="Calibri" w:hAnsi="Verdana"/>
        </w:rPr>
        <w:t>ennità determinata con il decreto n. 12 del 24 luglio 2019, ha carattere definitivo.</w:t>
      </w:r>
    </w:p>
    <w:p w14:paraId="38BCD856" w14:textId="77777777" w:rsidR="00647AEA" w:rsidRPr="00EC2524" w:rsidRDefault="00647AEA" w:rsidP="00647AEA">
      <w:pPr>
        <w:spacing w:line="276" w:lineRule="auto"/>
        <w:jc w:val="center"/>
        <w:rPr>
          <w:rFonts w:ascii="Verdana" w:eastAsia="Calibri" w:hAnsi="Verdana"/>
          <w:bCs/>
        </w:rPr>
      </w:pP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</w:rPr>
        <w:tab/>
      </w:r>
      <w:r w:rsidRPr="00EC2524">
        <w:rPr>
          <w:rFonts w:ascii="Verdana" w:eastAsia="Calibri" w:hAnsi="Verdana"/>
          <w:bCs/>
        </w:rPr>
        <w:t xml:space="preserve">Il </w:t>
      </w:r>
      <w:r w:rsidRPr="00EC2524">
        <w:rPr>
          <w:rFonts w:ascii="Verdana" w:eastAsia="Calibri" w:hAnsi="Verdana"/>
          <w:bCs/>
          <w:i/>
        </w:rPr>
        <w:t>sub</w:t>
      </w:r>
      <w:r w:rsidRPr="00EC2524">
        <w:rPr>
          <w:rFonts w:ascii="Verdana" w:eastAsia="Calibri" w:hAnsi="Verdana"/>
          <w:bCs/>
        </w:rPr>
        <w:t>-commissario</w:t>
      </w:r>
    </w:p>
    <w:p w14:paraId="3FC4275F" w14:textId="77777777" w:rsidR="00647AEA" w:rsidRPr="00EC2524" w:rsidRDefault="00647AEA" w:rsidP="00647AEA">
      <w:pPr>
        <w:spacing w:line="276" w:lineRule="auto"/>
        <w:jc w:val="center"/>
        <w:rPr>
          <w:rFonts w:ascii="Verdana" w:eastAsia="Calibri" w:hAnsi="Verdana"/>
          <w:bCs/>
        </w:rPr>
      </w:pPr>
      <w:r w:rsidRPr="00EC2524">
        <w:rPr>
          <w:rFonts w:ascii="Verdana" w:eastAsia="Calibri" w:hAnsi="Verdana"/>
          <w:bCs/>
        </w:rPr>
        <w:t xml:space="preserve">    </w:t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</w:r>
      <w:r w:rsidRPr="00EC2524">
        <w:rPr>
          <w:rFonts w:ascii="Verdana" w:eastAsia="Calibri" w:hAnsi="Verdana"/>
          <w:bCs/>
        </w:rPr>
        <w:tab/>
        <w:t>Piero Floreani</w:t>
      </w:r>
    </w:p>
    <w:p w14:paraId="63272FF7" w14:textId="77777777" w:rsidR="00130C7B" w:rsidRPr="00EC2524" w:rsidRDefault="00130C7B"/>
    <w:sectPr w:rsidR="00130C7B" w:rsidRPr="00EC2524" w:rsidSect="002772F6">
      <w:headerReference w:type="default" r:id="rId10"/>
      <w:footerReference w:type="default" r:id="rId11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91BC" w14:textId="77777777" w:rsidR="000854DE" w:rsidRDefault="000854DE">
      <w:r>
        <w:separator/>
      </w:r>
    </w:p>
  </w:endnote>
  <w:endnote w:type="continuationSeparator" w:id="0">
    <w:p w14:paraId="2CD2ADA2" w14:textId="77777777" w:rsidR="000854DE" w:rsidRDefault="000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903A" w14:textId="77777777" w:rsidR="002772F6" w:rsidRDefault="00F3699D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64BFA6" wp14:editId="6F193784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3A4D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t31AEAAIMDAAAOAAAAZHJzL2Uyb0RvYy54bWysU01v2zAMvQ/YfxB0X2wHS7IacXpIl126&#10;LUC7H8BIsi1UFgVJiZN/P0r56LrdhvogiCL5+PhIL++Pg2EH5YNG2/BqUnKmrECpbdfwX8+bT184&#10;CxGsBINWNfykAr9fffywHF2tptijkcozArGhHl3D+xhdXRRB9GqAMEGnLDlb9ANEMn1XSA8joQ+m&#10;mJblvBjRS+dRqBDo9eHs5KuM37ZKxJ9tG1RkpuHELebT53OXzmK1hLrz4HotLjTgP1gMoC0VvUE9&#10;QAS29/ofqEELjwHbOBE4FNi2WqjcA3VTlX9189SDU7kXEie4m0zh/WDFj8PWMy0bPufMwkAjWqO1&#10;Kkb0ik3ZPCk0ulBT4NpufepRHO2Te0TxEpjFdQ+2U5np88lRepUyijcpyQiO6uzG7ygpBvYRs1zH&#10;1g8JkoRgxzyV020q6hiZoMf5orqbLWh4gnzVovo8yxWgviY7H+I3hQNLl4aH6EF3fcx9COqjyqXg&#10;8Bhiogb1NSFVtrjRxuQ1MJaNDb+bTWc5IaDRMjlTWPDdbm08OwAt0mZT0ndh8SbM497KDNYrkF8v&#10;9wjanO9U3NiLPEmRs7Y7lKetv8pGk84sL1uZVulPO2e//jur3wAAAP//AwBQSwMEFAAGAAgAAAAh&#10;AJQiPK/hAAAACgEAAA8AAABkcnMvZG93bnJldi54bWxMj8FOwzAQRO9I/IO1SNxap4HSNsSpUBHl&#10;wAFIg7hu4yWJiO0QO23g69me4Liap9k36Xo0rThQ7xtnFcymEQiypdONrRQUu4fJEoQPaDW2zpKC&#10;b/Kwzs7PUky0O9pXOuShElxifYIK6hC6REpf1mTQT11HlrMP1xsMfPaV1D0eudy0Mo6iG2mwsfyh&#10;xo42NZWf+WAU/DzJ/H7QL5uvx7frd9yOxfPWFEpdXox3tyACjeEPhpM+q0PGTns3WO1Fq2AyW84Z&#10;5WDFE05AdLVagNgriOM5yCyV/ydkvwAAAP//AwBQSwECLQAUAAYACAAAACEAtoM4kv4AAADhAQAA&#10;EwAAAAAAAAAAAAAAAAAAAAAAW0NvbnRlbnRfVHlwZXNdLnhtbFBLAQItABQABgAIAAAAIQA4/SH/&#10;1gAAAJQBAAALAAAAAAAAAAAAAAAAAC8BAABfcmVscy8ucmVsc1BLAQItABQABgAIAAAAIQDO0gt3&#10;1AEAAIMDAAAOAAAAAAAAAAAAAAAAAC4CAABkcnMvZTJvRG9jLnhtbFBLAQItABQABgAIAAAAIQCU&#10;Ijyv4QAAAAoBAAAPAAAAAAAAAAAAAAAAAC4EAABkcnMvZG93bnJldi54bWxQSwUGAAAAAAQABADz&#10;AAAAPAUAAAAA&#10;" strokecolor="red"/>
          </w:pict>
        </mc:Fallback>
      </mc:AlternateContent>
    </w:r>
  </w:p>
  <w:p w14:paraId="6BDBEF36" w14:textId="77777777" w:rsidR="002772F6" w:rsidRDefault="00F3699D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73B8AB" wp14:editId="33803962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FA968D" w14:textId="77777777" w:rsidR="007378AF" w:rsidRDefault="00F3699D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9E75313" wp14:editId="7A6AE1E8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73B8AB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60FA968D" w14:textId="77777777" w:rsidR="007378AF" w:rsidRDefault="00F3699D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9E75313" wp14:editId="7A6AE1E8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F74EB44" w14:textId="77777777" w:rsidR="00A04579" w:rsidRPr="00373236" w:rsidRDefault="00F3699D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59264675" wp14:editId="2C69D8E3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73B242E5" wp14:editId="18BD4182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73728B42" w14:textId="77777777" w:rsidR="00A04579" w:rsidRPr="00373236" w:rsidRDefault="00F3699D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>Via di Francia 3 - Matitone, 3° piano 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0C55510D" w14:textId="77777777" w:rsidR="00A04579" w:rsidRPr="00373236" w:rsidRDefault="00F3699D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40130CC1" w14:textId="77777777" w:rsidR="00A04579" w:rsidRPr="00373236" w:rsidRDefault="00F3699D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35DD2852" w14:textId="77777777" w:rsidR="00A04579" w:rsidRPr="00373236" w:rsidRDefault="00F3699D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0060B453" w14:textId="77777777" w:rsidR="00C36BBB" w:rsidRPr="008F1F25" w:rsidRDefault="007A22B5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1348" w14:textId="77777777" w:rsidR="000854DE" w:rsidRDefault="000854DE">
      <w:r>
        <w:separator/>
      </w:r>
    </w:p>
  </w:footnote>
  <w:footnote w:type="continuationSeparator" w:id="0">
    <w:p w14:paraId="77CC38BC" w14:textId="77777777" w:rsidR="000854DE" w:rsidRDefault="0008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1544" w14:textId="77777777" w:rsidR="0025505A" w:rsidRDefault="00F3699D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DC3A2" wp14:editId="33F6FA2A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6C483" w14:textId="77777777" w:rsidR="006F3128" w:rsidRDefault="007A22B5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602D967A" w14:textId="77777777" w:rsidR="00BB25B1" w:rsidRPr="00EB2A02" w:rsidRDefault="00F3699D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FF2ABB3" w14:textId="77777777" w:rsidR="00E30FAE" w:rsidRPr="00EB2A02" w:rsidRDefault="00F3699D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B1C2A7" w14:textId="77777777" w:rsidR="00BB25B1" w:rsidRPr="00EB2A02" w:rsidRDefault="00F3699D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5D85453A" w14:textId="77777777" w:rsidR="00BB25B1" w:rsidRPr="00EB2A02" w:rsidRDefault="00F3699D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5CBDA3A0" w14:textId="77777777" w:rsidR="00BB25B1" w:rsidRDefault="007A22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DC3A2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52.25pt;margin-top:-5.9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BRZ9Lc4AAAAAsBAAAPAAAAZHJzL2Rvd25yZXYu&#10;eG1sTI/BTsMwEETvSPyDtUhcUGsnaqENcaqqAnFu4cLNjbdJRLxOYrdJ+XqWExxX8zTzNt9MrhUX&#10;HELjSUMyVyCQSm8bqjR8vL/OViBCNGRN6wk1XDHApri9yU1m/Uh7vBxiJbiEQmY01DF2mZShrNGZ&#10;MPcdEmcnPzgT+RwqaQczcrlrZarUo3SmIV6oTYe7Gsuvw9lp8OPL1XnsVfrw+e3edtt+f0p7re/v&#10;pu0ziIhT/IPhV5/VoWCnoz+TDaLVsFSLJaMaZkmyBsHEepU+gTgyulApyCKX/38ofgA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BRZ9Lc4AAAAAsBAAAPAAAAAAAAAAAAAAAAAIMEAABk&#10;cnMvZG93bnJldi54bWxQSwUGAAAAAAQABADzAAAAkAUAAAAA&#10;" strokecolor="white">
              <v:textbox>
                <w:txbxContent>
                  <w:p w14:paraId="2F86C483" w14:textId="77777777" w:rsidR="006F3128" w:rsidRDefault="007A22B5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602D967A" w14:textId="77777777" w:rsidR="00BB25B1" w:rsidRPr="00EB2A02" w:rsidRDefault="00F3699D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FF2ABB3" w14:textId="77777777" w:rsidR="00E30FAE" w:rsidRPr="00EB2A02" w:rsidRDefault="00F3699D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B1C2A7" w14:textId="77777777" w:rsidR="00BB25B1" w:rsidRPr="00EB2A02" w:rsidRDefault="00F3699D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5D85453A" w14:textId="77777777" w:rsidR="00BB25B1" w:rsidRPr="00EB2A02" w:rsidRDefault="00F3699D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5CBDA3A0" w14:textId="77777777" w:rsidR="00BB25B1" w:rsidRDefault="007A22B5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24E7EEB5" wp14:editId="70BD5A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8AC98" w14:textId="77777777" w:rsidR="0078768A" w:rsidRPr="0025505A" w:rsidRDefault="00F3699D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7092035B" w14:textId="77777777" w:rsidR="0025505A" w:rsidRPr="0025505A" w:rsidRDefault="00F3699D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BB0C0" wp14:editId="2BF88074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EA56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OD0AEAAH8DAAAOAAAAZHJzL2Uyb0RvYy54bWysU01v2zAMvQ/YfxB0X2wHS9MZcXpIl126&#10;LUC7H8BIsi1MFgVJiZ1/P0r5aLfdhvkgiCL5yPdIrx6mwbCj8kGjbXg1KzlTVqDUtmv4j5fth3vO&#10;QgQrwaBVDT+pwB/W79+tRlerOfZopPKMQGyoR9fwPkZXF0UQvRogzNApS84W/QCRTN8V0sNI6IMp&#10;5mV5V4zopfMoVAj0+nh28nXGb1sl4ve2DSoy03DqLebT53OfzmK9grrz4HotLm3AP3QxgLZU9Ab1&#10;CBHYweu/oAYtPAZs40zgUGDbaqEyB2JTlX+wee7BqcyFxAnuJlP4f7Di23HnmZYNX3JmYaARbdBa&#10;FSN6xeZsmRQaXagpcGN3PnEUk312Tyh+BmZx04PtVO705eQovUoZxW8pyQiO6uzHrygpBg4Rs1xT&#10;64cESUKwKU/ldJuKmiIT9Hh3v1xUHxeciauvgPqa6HyIXxQOLF0aHqIH3fUxcxDEocpl4PgUYmoL&#10;6mtCqmpxq43JK2AsGxv+aTFf5ISARsvkTGHBd/uN8ewItETbbUlf5kiet2EeD1ZmsF6B/Hy5R9Dm&#10;fKfixl6kSWqcdd2jPO38VTKacu7yspFpjd7aOfv1v1n/AgAA//8DAFBLAwQUAAYACAAAACEApqYp&#10;UeAAAAAKAQAADwAAAGRycy9kb3ducmV2LnhtbEyPQU/DMAyF70j8h8hI3LYUVsHomk5oiHHYAShF&#10;XL3GaysapzTp1vHrycQBTpb9np6/ly5H04o99a6xrOBqGoEgLq1uuFJQvD1O5iCcR9bYWiYFR3Kw&#10;zM7PUky0PfAr7XNfiRDCLkEFtfddIqUrazLoprYjDtrO9gZ9WPtK6h4PIdy08jqKbqTBhsOHGjta&#10;1VR+5oNR8L2R+cOgX1ZfT+/xB67H4nltCqUuL8b7BQhPo/8zwwk/oEMWmLZ2YO1Eq2ASz0IXryCe&#10;h3kyRLO7WxDb34vMUvm/QvYDAAD//wMAUEsBAi0AFAAGAAgAAAAhALaDOJL+AAAA4QEAABMAAAAA&#10;AAAAAAAAAAAAAAAAAFtDb250ZW50X1R5cGVzXS54bWxQSwECLQAUAAYACAAAACEAOP0h/9YAAACU&#10;AQAACwAAAAAAAAAAAAAAAAAvAQAAX3JlbHMvLnJlbHNQSwECLQAUAAYACAAAACEAnjCTg9ABAAB/&#10;AwAADgAAAAAAAAAAAAAAAAAuAgAAZHJzL2Uyb0RvYy54bWxQSwECLQAUAAYACAAAACEApqYpUeAA&#10;AAAKAQAADwAAAAAAAAAAAAAAAAAqBAAAZHJzL2Rvd25yZXYueG1sUEsFBgAAAAAEAAQA8wAAADcF&#10;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90386"/>
    <w:multiLevelType w:val="hybridMultilevel"/>
    <w:tmpl w:val="8880FBA0"/>
    <w:lvl w:ilvl="0" w:tplc="23720E28">
      <w:numFmt w:val="bullet"/>
      <w:lvlText w:val="-"/>
      <w:lvlJc w:val="left"/>
      <w:pPr>
        <w:ind w:left="1069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EA"/>
    <w:rsid w:val="000854DE"/>
    <w:rsid w:val="00130C7B"/>
    <w:rsid w:val="001920FC"/>
    <w:rsid w:val="00647AEA"/>
    <w:rsid w:val="007A22B5"/>
    <w:rsid w:val="00E244F9"/>
    <w:rsid w:val="00EC2524"/>
    <w:rsid w:val="00EE439B"/>
    <w:rsid w:val="00F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DF35"/>
  <w15:chartTrackingRefBased/>
  <w15:docId w15:val="{30B71B4A-7CBC-43A3-A753-66ABCD6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7AE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7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AEA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7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AEA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7AE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47AEA"/>
    <w:rPr>
      <w:rFonts w:ascii="Courier New" w:eastAsia="Cambria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4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20F8E6E3B2D46A06396433FA4E97C" ma:contentTypeVersion="11" ma:contentTypeDescription="Creare un nuovo documento." ma:contentTypeScope="" ma:versionID="0e961f1731f64f577283f5b7ab408a57">
  <xsd:schema xmlns:xsd="http://www.w3.org/2001/XMLSchema" xmlns:xs="http://www.w3.org/2001/XMLSchema" xmlns:p="http://schemas.microsoft.com/office/2006/metadata/properties" xmlns:ns3="382065fb-d3b1-4c39-bc98-dc9240827d1a" xmlns:ns4="255d1139-0cf0-4db5-aae4-64415abb2cb1" targetNamespace="http://schemas.microsoft.com/office/2006/metadata/properties" ma:root="true" ma:fieldsID="4e7fa0d9eb5366b6794930f38e6becfd" ns3:_="" ns4:_="">
    <xsd:import namespace="382065fb-d3b1-4c39-bc98-dc9240827d1a"/>
    <xsd:import namespace="255d1139-0cf0-4db5-aae4-64415abb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65fb-d3b1-4c39-bc98-dc924082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1139-0cf0-4db5-aae4-64415abb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37B62-6597-46A0-9182-301586559B0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55d1139-0cf0-4db5-aae4-64415abb2cb1"/>
    <ds:schemaRef ds:uri="http://schemas.microsoft.com/office/2006/documentManagement/types"/>
    <ds:schemaRef ds:uri="http://schemas.microsoft.com/office/2006/metadata/properties"/>
    <ds:schemaRef ds:uri="382065fb-d3b1-4c39-bc98-dc9240827d1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2774EC-2619-4213-9F9B-5C8884870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A8876-7AAF-48F3-AE91-9B04644C3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65fb-d3b1-4c39-bc98-dc9240827d1a"/>
    <ds:schemaRef ds:uri="255d1139-0cf0-4db5-aae4-64415abb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Floreani</dc:creator>
  <cp:keywords/>
  <dc:description/>
  <cp:lastModifiedBy>Emanuela Marighella</cp:lastModifiedBy>
  <cp:revision>4</cp:revision>
  <cp:lastPrinted>2020-01-27T14:38:00Z</cp:lastPrinted>
  <dcterms:created xsi:type="dcterms:W3CDTF">2020-01-27T14:50:00Z</dcterms:created>
  <dcterms:modified xsi:type="dcterms:W3CDTF">2020-05-05T08:13:00Z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0x010100E8520F8E6E3B2D46A06396433FA4E97C</vt:lpwstr>
  </property>
</Properties>
</file>