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93C" w14:textId="77777777" w:rsidR="00BF2EDB" w:rsidRDefault="00BF2EDB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</w:p>
    <w:p w14:paraId="184B4AC5" w14:textId="19117943" w:rsidR="00D22CD9" w:rsidRPr="008A2F8D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8A2F8D">
        <w:rPr>
          <w:rFonts w:ascii="Verdana" w:hAnsi="Verdana" w:cs="Tahoma"/>
          <w:b/>
        </w:rPr>
        <w:t>Prot. n. DSC1/20</w:t>
      </w:r>
      <w:r w:rsidR="00465E40" w:rsidRPr="008A2F8D">
        <w:rPr>
          <w:rFonts w:ascii="Verdana" w:hAnsi="Verdana" w:cs="Tahoma"/>
          <w:b/>
        </w:rPr>
        <w:t>20</w:t>
      </w:r>
      <w:r w:rsidRPr="008A2F8D">
        <w:rPr>
          <w:rFonts w:ascii="Verdana" w:hAnsi="Verdana" w:cs="Tahoma"/>
          <w:b/>
        </w:rPr>
        <w:t>/</w:t>
      </w:r>
      <w:r w:rsidR="008A2F8D" w:rsidRPr="008A2F8D">
        <w:rPr>
          <w:rFonts w:ascii="Verdana" w:hAnsi="Verdana" w:cs="Tahoma"/>
          <w:b/>
        </w:rPr>
        <w:t>27</w:t>
      </w:r>
    </w:p>
    <w:p w14:paraId="1B803977" w14:textId="2864A8A4" w:rsidR="00D22CD9" w:rsidRPr="008A2F8D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8A2F8D">
        <w:rPr>
          <w:rFonts w:ascii="Verdana" w:hAnsi="Verdana" w:cs="Tahoma"/>
          <w:b/>
        </w:rPr>
        <w:t xml:space="preserve">del  </w:t>
      </w:r>
      <w:r w:rsidR="008A2F8D" w:rsidRPr="008A2F8D">
        <w:rPr>
          <w:rFonts w:ascii="Verdana" w:hAnsi="Verdana" w:cs="Tahoma"/>
          <w:b/>
        </w:rPr>
        <w:t>22</w:t>
      </w:r>
      <w:r w:rsidR="001F1042" w:rsidRPr="008A2F8D">
        <w:rPr>
          <w:rFonts w:ascii="Verdana" w:hAnsi="Verdana" w:cs="Tahoma"/>
          <w:b/>
        </w:rPr>
        <w:t>/</w:t>
      </w:r>
      <w:r w:rsidR="00465E40" w:rsidRPr="008A2F8D">
        <w:rPr>
          <w:rFonts w:ascii="Verdana" w:hAnsi="Verdana" w:cs="Tahoma"/>
          <w:b/>
        </w:rPr>
        <w:t>0</w:t>
      </w:r>
      <w:r w:rsidR="008477B7" w:rsidRPr="008A2F8D">
        <w:rPr>
          <w:rFonts w:ascii="Verdana" w:hAnsi="Verdana" w:cs="Tahoma"/>
          <w:b/>
        </w:rPr>
        <w:t>5</w:t>
      </w:r>
      <w:r w:rsidRPr="008A2F8D">
        <w:rPr>
          <w:rFonts w:ascii="Verdana" w:hAnsi="Verdana" w:cs="Tahoma"/>
          <w:b/>
        </w:rPr>
        <w:t>/20</w:t>
      </w:r>
      <w:r w:rsidR="00465E40" w:rsidRPr="008A2F8D">
        <w:rPr>
          <w:rFonts w:ascii="Verdana" w:hAnsi="Verdana" w:cs="Tahoma"/>
          <w:b/>
        </w:rPr>
        <w:t>20</w:t>
      </w:r>
      <w:r w:rsidRPr="008A2F8D">
        <w:rPr>
          <w:rFonts w:ascii="Verdana" w:hAnsi="Verdana" w:cs="Tahoma"/>
          <w:b/>
        </w:rPr>
        <w:t xml:space="preserve">     </w:t>
      </w:r>
    </w:p>
    <w:p w14:paraId="0F851EFD" w14:textId="77777777" w:rsidR="00642B47" w:rsidRPr="008A2F8D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1F99D579" w:rsidR="00642B47" w:rsidRPr="009A39A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8A2F8D">
        <w:rPr>
          <w:rFonts w:ascii="Verdana" w:hAnsi="Verdana"/>
          <w:sz w:val="24"/>
          <w:szCs w:val="24"/>
          <w:u w:val="single"/>
        </w:rPr>
        <w:t>DE</w:t>
      </w:r>
      <w:r w:rsidR="008D22F4" w:rsidRPr="008A2F8D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8A2F8D">
        <w:rPr>
          <w:rFonts w:ascii="Verdana" w:hAnsi="Verdana"/>
          <w:sz w:val="24"/>
          <w:szCs w:val="24"/>
          <w:u w:val="single"/>
        </w:rPr>
        <w:t xml:space="preserve"> N</w:t>
      </w:r>
      <w:r w:rsidR="00BD3837" w:rsidRPr="008A2F8D">
        <w:rPr>
          <w:rFonts w:ascii="Verdana" w:hAnsi="Verdana"/>
          <w:sz w:val="24"/>
          <w:szCs w:val="24"/>
          <w:u w:val="single"/>
          <w:lang w:val="it-IT"/>
        </w:rPr>
        <w:t>.</w:t>
      </w:r>
      <w:r w:rsidR="008A2F8D" w:rsidRPr="008A2F8D">
        <w:rPr>
          <w:rFonts w:ascii="Verdana" w:hAnsi="Verdana"/>
          <w:sz w:val="24"/>
          <w:szCs w:val="24"/>
          <w:u w:val="single"/>
          <w:lang w:val="it-IT"/>
        </w:rPr>
        <w:t xml:space="preserve"> 27</w:t>
      </w:r>
      <w:r w:rsidR="008477B7">
        <w:rPr>
          <w:rFonts w:ascii="Verdana" w:hAnsi="Verdana"/>
          <w:sz w:val="24"/>
          <w:szCs w:val="24"/>
          <w:u w:val="single"/>
          <w:lang w:val="it-IT"/>
        </w:rPr>
        <w:t xml:space="preserve">  </w:t>
      </w:r>
      <w:r w:rsidR="009A39A1" w:rsidRPr="00A13AC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3DD1E906" w:rsidR="00642B47" w:rsidRPr="008F51C9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bookmarkStart w:id="0" w:name="_Hlk1385046"/>
      <w:r w:rsidR="004A6D97">
        <w:rPr>
          <w:rFonts w:ascii="Verdana" w:eastAsia="Calibri" w:hAnsi="Verdana"/>
          <w:sz w:val="22"/>
          <w:szCs w:val="22"/>
        </w:rPr>
        <w:t xml:space="preserve">Contratto di appalto pubblico per la demolizione, rimozione, smaltimento e </w:t>
      </w:r>
      <w:r w:rsidR="004A6D97" w:rsidRPr="00EE5E89">
        <w:rPr>
          <w:rFonts w:ascii="Verdana" w:eastAsia="Calibri" w:hAnsi="Verdana"/>
          <w:sz w:val="22"/>
          <w:szCs w:val="22"/>
        </w:rPr>
        <w:t>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0"/>
      <w:r w:rsidR="004A6D97" w:rsidRPr="00EE5E89">
        <w:rPr>
          <w:rFonts w:ascii="Verdana" w:eastAsia="Calibri" w:hAnsi="Verdana"/>
          <w:sz w:val="22"/>
          <w:szCs w:val="22"/>
        </w:rPr>
        <w:t xml:space="preserve">. </w:t>
      </w:r>
      <w:r w:rsidR="006F7142" w:rsidRPr="00EE5E89">
        <w:rPr>
          <w:rFonts w:ascii="Verdana" w:eastAsia="Calibri" w:hAnsi="Verdana"/>
          <w:sz w:val="22"/>
          <w:szCs w:val="22"/>
        </w:rPr>
        <w:t xml:space="preserve">- </w:t>
      </w:r>
      <w:r w:rsidR="00884790" w:rsidRPr="00EE5E89">
        <w:rPr>
          <w:rFonts w:ascii="Verdana" w:eastAsia="Calibri" w:hAnsi="Verdana"/>
          <w:sz w:val="22"/>
          <w:szCs w:val="22"/>
        </w:rPr>
        <w:t>Liquidazione</w:t>
      </w:r>
      <w:r w:rsidRPr="00EE5E89">
        <w:rPr>
          <w:rFonts w:ascii="Verdana" w:eastAsia="Calibri" w:hAnsi="Verdana"/>
          <w:sz w:val="22"/>
          <w:szCs w:val="22"/>
        </w:rPr>
        <w:t xml:space="preserve"> </w:t>
      </w:r>
      <w:r w:rsidR="006F7142" w:rsidRPr="00EE5E89">
        <w:rPr>
          <w:rFonts w:ascii="Verdana" w:eastAsia="Calibri" w:hAnsi="Verdana"/>
          <w:sz w:val="22"/>
          <w:szCs w:val="22"/>
        </w:rPr>
        <w:t>del</w:t>
      </w:r>
      <w:r w:rsidR="007C35EA" w:rsidRPr="00EE5E89">
        <w:rPr>
          <w:rFonts w:ascii="Verdana" w:eastAsia="Calibri" w:hAnsi="Verdana"/>
          <w:sz w:val="22"/>
          <w:szCs w:val="22"/>
        </w:rPr>
        <w:t xml:space="preserve">lo </w:t>
      </w:r>
      <w:r w:rsidR="00925683" w:rsidRPr="00EE5E89">
        <w:rPr>
          <w:rFonts w:ascii="Verdana" w:eastAsia="Calibri" w:hAnsi="Verdana"/>
          <w:sz w:val="22"/>
          <w:szCs w:val="22"/>
        </w:rPr>
        <w:t>S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925683" w:rsidRPr="00EE5E89">
        <w:rPr>
          <w:rFonts w:ascii="Verdana" w:eastAsia="Calibri" w:hAnsi="Verdana"/>
          <w:sz w:val="22"/>
          <w:szCs w:val="22"/>
        </w:rPr>
        <w:t>A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925683" w:rsidRPr="00EE5E89">
        <w:rPr>
          <w:rFonts w:ascii="Verdana" w:eastAsia="Calibri" w:hAnsi="Verdana"/>
          <w:sz w:val="22"/>
          <w:szCs w:val="22"/>
        </w:rPr>
        <w:t>L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4A6D97" w:rsidRPr="00EE5E89">
        <w:rPr>
          <w:rFonts w:ascii="Verdana" w:eastAsia="Calibri" w:hAnsi="Verdana"/>
          <w:sz w:val="22"/>
          <w:szCs w:val="22"/>
        </w:rPr>
        <w:t xml:space="preserve"> </w:t>
      </w:r>
      <w:r w:rsidR="00925683" w:rsidRPr="00EE5E89">
        <w:rPr>
          <w:rFonts w:ascii="Verdana" w:eastAsia="Calibri" w:hAnsi="Verdana"/>
          <w:sz w:val="22"/>
          <w:szCs w:val="22"/>
        </w:rPr>
        <w:t>n</w:t>
      </w:r>
      <w:r w:rsidR="00925683" w:rsidRPr="008F51C9">
        <w:rPr>
          <w:rFonts w:ascii="Verdana" w:eastAsia="Calibri" w:hAnsi="Verdana"/>
          <w:sz w:val="22"/>
          <w:szCs w:val="22"/>
        </w:rPr>
        <w:t xml:space="preserve">. </w:t>
      </w:r>
      <w:r w:rsidR="0043404B">
        <w:rPr>
          <w:rFonts w:ascii="Verdana" w:eastAsia="Calibri" w:hAnsi="Verdana"/>
          <w:sz w:val="22"/>
          <w:szCs w:val="22"/>
        </w:rPr>
        <w:t>11</w:t>
      </w:r>
      <w:r w:rsidR="00925683" w:rsidRPr="008F51C9">
        <w:rPr>
          <w:rFonts w:ascii="Verdana" w:eastAsia="Calibri" w:hAnsi="Verdana"/>
          <w:sz w:val="22"/>
          <w:szCs w:val="22"/>
        </w:rPr>
        <w:t xml:space="preserve"> </w:t>
      </w:r>
      <w:r w:rsidR="006F7142" w:rsidRPr="008F51C9">
        <w:rPr>
          <w:rFonts w:ascii="Verdana" w:eastAsia="Calibri" w:hAnsi="Verdana"/>
          <w:sz w:val="22"/>
          <w:szCs w:val="22"/>
        </w:rPr>
        <w:t>relativo</w:t>
      </w:r>
      <w:r w:rsidR="009C5E15" w:rsidRPr="008F51C9">
        <w:rPr>
          <w:rFonts w:ascii="Verdana" w:eastAsia="Calibri" w:hAnsi="Verdana"/>
          <w:sz w:val="22"/>
          <w:szCs w:val="22"/>
        </w:rPr>
        <w:t xml:space="preserve"> </w:t>
      </w:r>
      <w:r w:rsidR="006F7142" w:rsidRPr="008F51C9">
        <w:rPr>
          <w:rFonts w:ascii="Verdana" w:eastAsia="Calibri" w:hAnsi="Verdana"/>
          <w:sz w:val="22"/>
          <w:szCs w:val="22"/>
        </w:rPr>
        <w:t xml:space="preserve">alle </w:t>
      </w:r>
      <w:r w:rsidR="009C5E15" w:rsidRPr="008F51C9">
        <w:rPr>
          <w:rFonts w:ascii="Verdana" w:eastAsia="Calibri" w:hAnsi="Verdana"/>
          <w:sz w:val="22"/>
          <w:szCs w:val="22"/>
        </w:rPr>
        <w:t xml:space="preserve">attività di demolizione </w:t>
      </w:r>
      <w:r w:rsidR="00925683" w:rsidRPr="008F51C9">
        <w:rPr>
          <w:rFonts w:ascii="Verdana" w:eastAsia="Calibri" w:hAnsi="Verdana"/>
          <w:sz w:val="22"/>
          <w:szCs w:val="22"/>
        </w:rPr>
        <w:t xml:space="preserve">– </w:t>
      </w:r>
      <w:r w:rsidR="006F7142" w:rsidRPr="008F51C9">
        <w:rPr>
          <w:rFonts w:ascii="Verdana" w:eastAsia="Calibri" w:hAnsi="Verdana"/>
          <w:sz w:val="22"/>
          <w:szCs w:val="22"/>
        </w:rPr>
        <w:t>P</w:t>
      </w:r>
      <w:r w:rsidR="00925683" w:rsidRPr="008F51C9">
        <w:rPr>
          <w:rFonts w:ascii="Verdana" w:eastAsia="Calibri" w:hAnsi="Verdana"/>
          <w:sz w:val="22"/>
          <w:szCs w:val="22"/>
        </w:rPr>
        <w:t>eriodo di riferimento</w:t>
      </w:r>
      <w:r w:rsidR="006F7142" w:rsidRPr="008F51C9">
        <w:rPr>
          <w:rFonts w:ascii="Verdana" w:eastAsia="Calibri" w:hAnsi="Verdana"/>
          <w:sz w:val="22"/>
          <w:szCs w:val="22"/>
        </w:rPr>
        <w:t>:</w:t>
      </w:r>
      <w:r w:rsidR="00925683" w:rsidRPr="008F51C9">
        <w:rPr>
          <w:rFonts w:ascii="Verdana" w:eastAsia="Calibri" w:hAnsi="Verdana"/>
          <w:sz w:val="22"/>
          <w:szCs w:val="22"/>
        </w:rPr>
        <w:t xml:space="preserve"> </w:t>
      </w:r>
      <w:r w:rsidR="00F4390C">
        <w:rPr>
          <w:rFonts w:ascii="Verdana" w:eastAsia="Calibri" w:hAnsi="Verdana"/>
          <w:sz w:val="22"/>
          <w:szCs w:val="22"/>
        </w:rPr>
        <w:t xml:space="preserve">a tutto il </w:t>
      </w:r>
      <w:r w:rsidR="0043404B">
        <w:rPr>
          <w:rFonts w:ascii="Verdana" w:eastAsia="Calibri" w:hAnsi="Verdana"/>
          <w:sz w:val="22"/>
          <w:szCs w:val="22"/>
        </w:rPr>
        <w:t>3</w:t>
      </w:r>
      <w:r w:rsidR="00613551">
        <w:rPr>
          <w:rFonts w:ascii="Verdana" w:eastAsia="Calibri" w:hAnsi="Verdana"/>
          <w:sz w:val="22"/>
          <w:szCs w:val="22"/>
        </w:rPr>
        <w:t xml:space="preserve">0 </w:t>
      </w:r>
      <w:r w:rsidR="00FB7370">
        <w:rPr>
          <w:rFonts w:ascii="Verdana" w:eastAsia="Calibri" w:hAnsi="Verdana"/>
          <w:sz w:val="22"/>
          <w:szCs w:val="22"/>
        </w:rPr>
        <w:t>aprile</w:t>
      </w:r>
      <w:r w:rsidR="00613551">
        <w:rPr>
          <w:rFonts w:ascii="Verdana" w:eastAsia="Calibri" w:hAnsi="Verdana"/>
          <w:sz w:val="22"/>
          <w:szCs w:val="22"/>
        </w:rPr>
        <w:t xml:space="preserve"> </w:t>
      </w:r>
      <w:r w:rsidR="00925683" w:rsidRPr="008F51C9">
        <w:rPr>
          <w:rFonts w:ascii="Verdana" w:eastAsia="Calibri" w:hAnsi="Verdana"/>
          <w:sz w:val="22"/>
          <w:szCs w:val="22"/>
        </w:rPr>
        <w:t xml:space="preserve"> 20</w:t>
      </w:r>
      <w:r w:rsidR="00FB7370">
        <w:rPr>
          <w:rFonts w:ascii="Verdana" w:eastAsia="Calibri" w:hAnsi="Verdana"/>
          <w:sz w:val="22"/>
          <w:szCs w:val="22"/>
        </w:rPr>
        <w:t>20</w:t>
      </w:r>
      <w:r w:rsidR="004A6D97" w:rsidRPr="008F51C9">
        <w:rPr>
          <w:rFonts w:ascii="Verdana" w:eastAsia="Calibri" w:hAnsi="Verdana"/>
          <w:sz w:val="22"/>
          <w:szCs w:val="22"/>
        </w:rPr>
        <w:t xml:space="preserve">. </w:t>
      </w:r>
    </w:p>
    <w:p w14:paraId="1923CB81" w14:textId="77777777" w:rsidR="00C919FE" w:rsidRPr="008F51C9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8F51C9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8F51C9">
        <w:rPr>
          <w:rFonts w:ascii="Verdana" w:hAnsi="Verdana"/>
          <w:sz w:val="22"/>
          <w:szCs w:val="22"/>
        </w:rPr>
        <w:t xml:space="preserve">IL </w:t>
      </w:r>
      <w:r w:rsidRPr="008F51C9">
        <w:rPr>
          <w:rFonts w:ascii="Verdana" w:hAnsi="Verdana"/>
          <w:sz w:val="22"/>
          <w:szCs w:val="22"/>
          <w:lang w:val="it-IT"/>
        </w:rPr>
        <w:t xml:space="preserve">SUB </w:t>
      </w:r>
      <w:r w:rsidRPr="008F51C9">
        <w:rPr>
          <w:rFonts w:ascii="Verdana" w:hAnsi="Verdana"/>
          <w:sz w:val="22"/>
          <w:szCs w:val="22"/>
        </w:rPr>
        <w:t>COMMISSARIO STRAORDINARIO PER LA RICOSTRUZIONE</w:t>
      </w:r>
    </w:p>
    <w:p w14:paraId="28041EC4" w14:textId="77777777" w:rsidR="00AA003E" w:rsidRPr="008F51C9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visto il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8F51C9">
        <w:rPr>
          <w:rFonts w:ascii="Verdana" w:eastAsia="Calibri" w:hAnsi="Verdana"/>
          <w:sz w:val="22"/>
          <w:szCs w:val="22"/>
        </w:rPr>
        <w:t xml:space="preserve"> “</w:t>
      </w:r>
      <w:r w:rsidRPr="008F51C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8F51C9">
        <w:rPr>
          <w:rFonts w:ascii="Verdana" w:eastAsia="Calibri" w:hAnsi="Verdana"/>
          <w:sz w:val="22"/>
          <w:szCs w:val="22"/>
        </w:rPr>
        <w:t>”;</w:t>
      </w:r>
    </w:p>
    <w:p w14:paraId="1B1D1646" w14:textId="77777777" w:rsidR="00F432A1" w:rsidRPr="008F51C9" w:rsidRDefault="00AA003E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8F51C9">
        <w:rPr>
          <w:rFonts w:ascii="Verdana" w:eastAsia="Calibri" w:hAnsi="Verdana"/>
          <w:sz w:val="22"/>
          <w:szCs w:val="22"/>
        </w:rPr>
        <w:t>nn</w:t>
      </w:r>
      <w:proofErr w:type="spellEnd"/>
      <w:r w:rsidRPr="008F51C9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8F51C9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8F51C9">
        <w:rPr>
          <w:rFonts w:ascii="Verdana" w:eastAsia="Calibri" w:hAnsi="Verdana"/>
          <w:sz w:val="22"/>
          <w:szCs w:val="22"/>
        </w:rPr>
        <w:t>” e la “</w:t>
      </w:r>
      <w:r w:rsidRPr="008F51C9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8F51C9">
        <w:rPr>
          <w:rFonts w:ascii="Verdana" w:eastAsia="Calibri" w:hAnsi="Verdana"/>
          <w:sz w:val="22"/>
          <w:szCs w:val="22"/>
        </w:rPr>
        <w:t>;</w:t>
      </w:r>
    </w:p>
    <w:p w14:paraId="5507C5FF" w14:textId="7C03067E" w:rsidR="004F5800" w:rsidRPr="008F51C9" w:rsidRDefault="004F5800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D288DF4" w14:textId="3BA09D04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visto il contratto di appalto pubblico n. 2 del 18 gennaio 2019 stipulato dal Commissario straordinario per la demolizione, rimozione, smaltimento e conferimento in discarica o in altro sito dei materiali di risulta del viadotto Polcevera in Genova, nonché per </w:t>
      </w:r>
      <w:r w:rsidRPr="008F51C9">
        <w:rPr>
          <w:rFonts w:ascii="Verdana" w:eastAsia="Calibri" w:hAnsi="Verdana"/>
          <w:sz w:val="22"/>
          <w:szCs w:val="22"/>
        </w:rPr>
        <w:lastRenderedPageBreak/>
        <w:t>la progettazione, la ricostruzione ed il ripristino strutturale e funzionale dell’infrastruttura e del connesso sistema viario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D10EC4B" w14:textId="2ED2DBC5" w:rsidR="00E153D5" w:rsidRPr="008F51C9" w:rsidRDefault="00E153D5" w:rsidP="00327807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l’atto di costituzione di associazione temporanea di imprese (A.T.I.), rep. N. </w:t>
      </w:r>
      <w:r w:rsidR="0032780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19376 notaio dott. Paola Piana, in data 17 gennaio 2019, tra</w:t>
      </w:r>
      <w:r w:rsidR="00327807" w:rsidRPr="008F51C9">
        <w:rPr>
          <w:rFonts w:ascii="Verdana" w:eastAsia="Calibri" w:hAnsi="Verdana"/>
          <w:sz w:val="22"/>
          <w:szCs w:val="22"/>
        </w:rPr>
        <w:t xml:space="preserve"> le società Fratelli Omini S.p.A., Fagioli S.p.A., Ireos S.p.A. e IPE Progetti S.r.l.</w:t>
      </w:r>
      <w:r w:rsidR="0012681D" w:rsidRPr="008F51C9">
        <w:rPr>
          <w:rFonts w:ascii="Verdana" w:eastAsia="Calibri" w:hAnsi="Verdana"/>
          <w:sz w:val="22"/>
          <w:szCs w:val="22"/>
        </w:rPr>
        <w:t>,</w:t>
      </w:r>
      <w:r w:rsidR="00327807" w:rsidRPr="008F51C9">
        <w:rPr>
          <w:rFonts w:ascii="Verdana" w:eastAsia="Calibri" w:hAnsi="Verdana"/>
          <w:sz w:val="22"/>
          <w:szCs w:val="22"/>
        </w:rPr>
        <w:t xml:space="preserve"> il contestuale mandato speciale conferito a Fratelli Omini S.p.A. per il compimento degli atti ivi previsti</w:t>
      </w:r>
      <w:r w:rsidR="0012681D" w:rsidRPr="008F51C9">
        <w:rPr>
          <w:rFonts w:ascii="Verdana" w:eastAsia="Calibri" w:hAnsi="Verdana"/>
          <w:sz w:val="22"/>
          <w:szCs w:val="22"/>
        </w:rPr>
        <w:t xml:space="preserve"> </w:t>
      </w:r>
      <w:r w:rsidR="008D7F6C" w:rsidRPr="008F51C9">
        <w:rPr>
          <w:rFonts w:ascii="Verdana" w:eastAsia="Calibri" w:hAnsi="Verdana"/>
          <w:sz w:val="22"/>
          <w:szCs w:val="22"/>
        </w:rPr>
        <w:t xml:space="preserve">e, in particolare, </w:t>
      </w:r>
      <w:r w:rsidR="007062BA" w:rsidRPr="008F51C9">
        <w:rPr>
          <w:rFonts w:ascii="Verdana" w:eastAsia="Calibri" w:hAnsi="Verdana"/>
          <w:sz w:val="22"/>
          <w:szCs w:val="22"/>
        </w:rPr>
        <w:t>l’art. 5, concernente l</w:t>
      </w:r>
      <w:r w:rsidR="0018558E" w:rsidRPr="008F51C9">
        <w:rPr>
          <w:rFonts w:ascii="Verdana" w:eastAsia="Calibri" w:hAnsi="Verdana"/>
          <w:sz w:val="22"/>
          <w:szCs w:val="22"/>
        </w:rPr>
        <w:t>a ripartizione in</w:t>
      </w:r>
      <w:r w:rsidR="007062BA" w:rsidRPr="008F51C9">
        <w:rPr>
          <w:rFonts w:ascii="Verdana" w:eastAsia="Calibri" w:hAnsi="Verdana"/>
          <w:sz w:val="22"/>
          <w:szCs w:val="22"/>
        </w:rPr>
        <w:t xml:space="preserve"> aree</w:t>
      </w:r>
      <w:r w:rsidR="0018558E" w:rsidRPr="008F51C9">
        <w:rPr>
          <w:rFonts w:ascii="Verdana" w:eastAsia="Calibri" w:hAnsi="Verdana"/>
          <w:sz w:val="22"/>
          <w:szCs w:val="22"/>
        </w:rPr>
        <w:t xml:space="preserve"> di competenza ed esecuzione di ciascuna impresa</w:t>
      </w:r>
      <w:r w:rsidR="006A7414" w:rsidRPr="008F51C9">
        <w:rPr>
          <w:rFonts w:ascii="Verdana" w:eastAsia="Calibri" w:hAnsi="Verdana"/>
          <w:sz w:val="22"/>
          <w:szCs w:val="22"/>
        </w:rPr>
        <w:t xml:space="preserve"> interessata;</w:t>
      </w:r>
    </w:p>
    <w:p w14:paraId="67DA8B5A" w14:textId="77777777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4C8F5E17" w:rsidR="00254F49" w:rsidRPr="008F51C9" w:rsidRDefault="00AA003E" w:rsidP="00C2571E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1C1878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987CE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</w:t>
      </w:r>
      <w:r w:rsidR="00A35885">
        <w:rPr>
          <w:rFonts w:ascii="Verdana" w:eastAsia="Times New Roman" w:hAnsi="Verdana" w:cs="Tahoma"/>
          <w:bCs/>
          <w:sz w:val="22"/>
          <w:szCs w:val="22"/>
          <w:lang w:eastAsia="it-IT"/>
        </w:rPr>
        <w:t>11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relativo 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alle attività</w:t>
      </w:r>
      <w:r w:rsidR="006934D8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demolizione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72041" w:rsidRPr="008F51C9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B7204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</w:t>
      </w:r>
      <w:r w:rsidR="00254F4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contratto </w:t>
      </w:r>
      <w:r w:rsidRPr="008F51C9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4323F" w:rsidRPr="008F51C9">
        <w:rPr>
          <w:rFonts w:ascii="Verdana" w:hAnsi="Verdana"/>
          <w:bCs/>
          <w:sz w:val="22"/>
          <w:szCs w:val="22"/>
        </w:rPr>
        <w:t>;</w:t>
      </w:r>
    </w:p>
    <w:p w14:paraId="06F376D1" w14:textId="05AB6DCA" w:rsidR="00AA003E" w:rsidRPr="008F51C9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</w:t>
      </w:r>
      <w:r w:rsidR="00C2571E" w:rsidRPr="008F51C9">
        <w:rPr>
          <w:rFonts w:ascii="Verdana" w:eastAsia="Calibri" w:hAnsi="Verdana"/>
          <w:sz w:val="22"/>
          <w:szCs w:val="22"/>
        </w:rPr>
        <w:t>considerato che</w:t>
      </w:r>
      <w:r w:rsidR="006934D8" w:rsidRPr="008F51C9">
        <w:rPr>
          <w:rFonts w:ascii="Verdana" w:eastAsia="Calibri" w:hAnsi="Verdana"/>
          <w:sz w:val="22"/>
          <w:szCs w:val="22"/>
        </w:rPr>
        <w:t>,</w:t>
      </w:r>
      <w:r w:rsidR="00C2571E" w:rsidRPr="008F51C9">
        <w:rPr>
          <w:rFonts w:ascii="Verdana" w:eastAsia="Calibri" w:hAnsi="Verdana"/>
          <w:sz w:val="22"/>
          <w:szCs w:val="22"/>
        </w:rPr>
        <w:t xml:space="preserve"> il R.U.P. per i lavori di demolizione arch. Roberto Tedeschi</w:t>
      </w:r>
      <w:r w:rsidR="00B72041" w:rsidRPr="008F51C9">
        <w:rPr>
          <w:rFonts w:ascii="Verdana" w:eastAsia="Calibri" w:hAnsi="Verdana"/>
          <w:sz w:val="22"/>
          <w:szCs w:val="22"/>
        </w:rPr>
        <w:t xml:space="preserve"> della Struttura Commissariale ed il Direttore</w:t>
      </w:r>
      <w:r w:rsidR="006934D8" w:rsidRPr="008F51C9">
        <w:rPr>
          <w:rFonts w:ascii="Verdana" w:eastAsia="Calibri" w:hAnsi="Verdana"/>
          <w:sz w:val="22"/>
          <w:szCs w:val="22"/>
        </w:rPr>
        <w:t xml:space="preserve"> Lavori </w:t>
      </w:r>
      <w:r w:rsidR="006F7142" w:rsidRPr="008F51C9">
        <w:rPr>
          <w:rFonts w:ascii="Verdana" w:eastAsia="Calibri" w:hAnsi="Verdana"/>
          <w:sz w:val="22"/>
          <w:szCs w:val="22"/>
        </w:rPr>
        <w:t>i</w:t>
      </w:r>
      <w:r w:rsidR="006934D8" w:rsidRPr="008F51C9">
        <w:rPr>
          <w:rFonts w:ascii="Verdana" w:eastAsia="Calibri" w:hAnsi="Verdana"/>
          <w:sz w:val="22"/>
          <w:szCs w:val="22"/>
        </w:rPr>
        <w:t>ng. Alessandro Aliotta</w:t>
      </w:r>
      <w:r w:rsidR="00B72041" w:rsidRPr="008F51C9">
        <w:rPr>
          <w:rFonts w:ascii="Verdana" w:eastAsia="Calibri" w:hAnsi="Verdana"/>
          <w:sz w:val="22"/>
          <w:szCs w:val="22"/>
        </w:rPr>
        <w:t xml:space="preserve"> di RINA Consulting S.p.A.</w:t>
      </w:r>
      <w:r w:rsidR="006934D8" w:rsidRPr="008F51C9">
        <w:rPr>
          <w:rFonts w:ascii="Verdana" w:eastAsia="Calibri" w:hAnsi="Verdana"/>
          <w:sz w:val="22"/>
          <w:szCs w:val="22"/>
        </w:rPr>
        <w:t>,</w:t>
      </w:r>
      <w:r w:rsidR="00B72041" w:rsidRPr="008F51C9">
        <w:rPr>
          <w:rFonts w:ascii="Verdana" w:eastAsia="Calibri" w:hAnsi="Verdana"/>
          <w:sz w:val="22"/>
          <w:szCs w:val="22"/>
        </w:rPr>
        <w:t xml:space="preserve"> </w:t>
      </w:r>
      <w:r w:rsidR="00C2571E" w:rsidRPr="008F51C9">
        <w:rPr>
          <w:rFonts w:ascii="Verdana" w:eastAsia="Calibri" w:hAnsi="Verdana"/>
          <w:sz w:val="22"/>
          <w:szCs w:val="22"/>
        </w:rPr>
        <w:t>ha</w:t>
      </w:r>
      <w:r w:rsidR="00B72041" w:rsidRPr="008F51C9">
        <w:rPr>
          <w:rFonts w:ascii="Verdana" w:eastAsia="Calibri" w:hAnsi="Verdana"/>
          <w:sz w:val="22"/>
          <w:szCs w:val="22"/>
        </w:rPr>
        <w:t>nno</w:t>
      </w:r>
      <w:r w:rsidR="00C2571E" w:rsidRPr="008F51C9">
        <w:rPr>
          <w:rFonts w:ascii="Verdana" w:eastAsia="Calibri" w:hAnsi="Verdana"/>
          <w:sz w:val="22"/>
          <w:szCs w:val="22"/>
        </w:rPr>
        <w:t xml:space="preserve"> redatto i certificati di pagamento relativi ai rispettivi ambiti di competenza in </w:t>
      </w:r>
      <w:r w:rsidR="00544A2D">
        <w:rPr>
          <w:rFonts w:ascii="Verdana" w:eastAsia="Calibri" w:hAnsi="Verdana"/>
          <w:sz w:val="22"/>
          <w:szCs w:val="22"/>
        </w:rPr>
        <w:t>data 7 maggio 2020</w:t>
      </w:r>
      <w:r w:rsidR="00C2571E" w:rsidRPr="008F51C9">
        <w:rPr>
          <w:rFonts w:ascii="Verdana" w:eastAsia="Calibri" w:hAnsi="Verdana"/>
          <w:sz w:val="22"/>
          <w:szCs w:val="22"/>
        </w:rPr>
        <w:t xml:space="preserve">, atti </w:t>
      </w:r>
      <w:r w:rsidRPr="008F51C9">
        <w:rPr>
          <w:rFonts w:ascii="Verdana" w:eastAsia="Calibri" w:hAnsi="Verdana"/>
          <w:sz w:val="22"/>
          <w:szCs w:val="22"/>
        </w:rPr>
        <w:t xml:space="preserve">acquisiti e conservati </w:t>
      </w:r>
      <w:r w:rsidR="00C2571E" w:rsidRPr="008F51C9">
        <w:rPr>
          <w:rFonts w:ascii="Verdana" w:eastAsia="Calibri" w:hAnsi="Verdana"/>
          <w:sz w:val="22"/>
          <w:szCs w:val="22"/>
        </w:rPr>
        <w:t>da questa</w:t>
      </w:r>
      <w:r w:rsidRPr="008F51C9">
        <w:rPr>
          <w:rFonts w:ascii="Verdana" w:eastAsia="Calibri" w:hAnsi="Verdana"/>
          <w:sz w:val="22"/>
          <w:szCs w:val="22"/>
        </w:rPr>
        <w:t xml:space="preserve"> </w:t>
      </w:r>
      <w:r w:rsidR="00C2571E" w:rsidRPr="008F51C9">
        <w:rPr>
          <w:rFonts w:ascii="Verdana" w:eastAsia="Calibri" w:hAnsi="Verdana"/>
          <w:sz w:val="22"/>
          <w:szCs w:val="22"/>
        </w:rPr>
        <w:t>S</w:t>
      </w:r>
      <w:r w:rsidRPr="008F51C9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50902B24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11548DA" w14:textId="77777777" w:rsidR="00F432A1" w:rsidRPr="008F51C9" w:rsidRDefault="00F432A1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2411186F" w14:textId="77777777" w:rsidR="004D0314" w:rsidRPr="008F51C9" w:rsidRDefault="004D0314" w:rsidP="004D031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5C7B6F86" w14:textId="77777777" w:rsidR="006A6FBB" w:rsidRPr="008F51C9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contrattuali, ivi compres</w:t>
      </w:r>
      <w:r w:rsidR="00B7204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 gli stati avanzamento lavori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alle imprese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6A6F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e confermata coi i decreti di cui ai punti precedenti;</w:t>
      </w:r>
    </w:p>
    <w:p w14:paraId="45B89D50" w14:textId="7018818B" w:rsidR="006A7414" w:rsidRDefault="006A7414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dichiarazione </w:t>
      </w:r>
      <w:r w:rsidR="0064286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di Omini S.p.A., mandataria dell’A.T.I. per la demolizione</w:t>
      </w:r>
      <w:r w:rsidR="00DE3BDC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in data 14 febbraio 2019 relativa a</w:t>
      </w:r>
      <w:r w:rsidR="00331BF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lle modalità di pagamento delle fatture emesse dalle imprese associate</w:t>
      </w:r>
      <w:r w:rsidR="0056610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11E77862" w14:textId="77777777" w:rsidR="00984B5A" w:rsidRDefault="00984B5A" w:rsidP="00984B5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viste le seguenti fatture:</w:t>
      </w:r>
    </w:p>
    <w:p w14:paraId="78020411" w14:textId="2C23D50F" w:rsidR="00984B5A" w:rsidRDefault="00984B5A" w:rsidP="00984B5A">
      <w:pPr>
        <w:pStyle w:val="Paragrafoelenco"/>
        <w:numPr>
          <w:ilvl w:val="0"/>
          <w:numId w:val="7"/>
        </w:numPr>
        <w:spacing w:after="200" w:line="276" w:lineRule="auto"/>
        <w:ind w:left="1276" w:hanging="425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FB1044">
        <w:rPr>
          <w:rFonts w:ascii="Verdana" w:eastAsia="Times New Roman" w:hAnsi="Verdana" w:cs="Tahoma"/>
          <w:bCs/>
          <w:sz w:val="22"/>
          <w:szCs w:val="22"/>
          <w:lang w:eastAsia="it-IT"/>
        </w:rPr>
        <w:t>Fratelli Omini S.p.A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Pr="00FB104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– fatt. n. </w:t>
      </w:r>
      <w:r w:rsidR="00F34ADD" w:rsidRPr="00F34ADD">
        <w:rPr>
          <w:rFonts w:ascii="Verdana" w:eastAsia="Times New Roman" w:hAnsi="Verdana" w:cs="Tahoma"/>
          <w:bCs/>
          <w:sz w:val="22"/>
          <w:szCs w:val="22"/>
          <w:lang w:eastAsia="it-IT"/>
        </w:rPr>
        <w:t>65/2020/1</w:t>
      </w:r>
      <w:r w:rsidRPr="00FB104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997FF3">
        <w:rPr>
          <w:rFonts w:ascii="Verdana" w:eastAsia="Times New Roman" w:hAnsi="Verdana" w:cs="Tahoma"/>
          <w:bCs/>
          <w:sz w:val="22"/>
          <w:szCs w:val="22"/>
          <w:lang w:eastAsia="it-IT"/>
        </w:rPr>
        <w:t>13</w:t>
      </w:r>
      <w:r w:rsidRPr="00FB104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ma</w:t>
      </w:r>
      <w:r w:rsidR="00997FF3">
        <w:rPr>
          <w:rFonts w:ascii="Verdana" w:eastAsia="Times New Roman" w:hAnsi="Verdana" w:cs="Tahoma"/>
          <w:bCs/>
          <w:sz w:val="22"/>
          <w:szCs w:val="22"/>
          <w:lang w:eastAsia="it-IT"/>
        </w:rPr>
        <w:t>ggio</w:t>
      </w:r>
      <w:r w:rsidRPr="00FB104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 per un importo complessivo di € </w:t>
      </w:r>
      <w:r w:rsidR="00971356" w:rsidRPr="00971356">
        <w:rPr>
          <w:rFonts w:ascii="Verdana" w:eastAsia="Times New Roman" w:hAnsi="Verdana" w:cs="Tahoma"/>
          <w:bCs/>
          <w:sz w:val="22"/>
          <w:szCs w:val="22"/>
          <w:lang w:eastAsia="it-IT"/>
        </w:rPr>
        <w:t>33.113,00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062F06C" w14:textId="03A636DB" w:rsidR="00984B5A" w:rsidRDefault="00984B5A" w:rsidP="00984B5A">
      <w:pPr>
        <w:pStyle w:val="Paragrafoelenco"/>
        <w:numPr>
          <w:ilvl w:val="0"/>
          <w:numId w:val="7"/>
        </w:numPr>
        <w:spacing w:after="200" w:line="276" w:lineRule="auto"/>
        <w:ind w:left="1276" w:hanging="425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905F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IREOS S.p.A. – fatt. n. </w:t>
      </w:r>
      <w:r w:rsidR="00C67C85" w:rsidRPr="00C67C85">
        <w:rPr>
          <w:rFonts w:ascii="Verdana" w:eastAsia="Times New Roman" w:hAnsi="Verdana" w:cs="Tahoma"/>
          <w:bCs/>
          <w:sz w:val="22"/>
          <w:szCs w:val="22"/>
          <w:lang w:eastAsia="it-IT"/>
        </w:rPr>
        <w:t>1/182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C67C85" w:rsidRPr="00C67C8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13 maggio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2020 per un importo complessivo di € </w:t>
      </w:r>
      <w:r w:rsidR="00035B4A" w:rsidRPr="00035B4A">
        <w:rPr>
          <w:rFonts w:ascii="Verdana" w:eastAsia="Times New Roman" w:hAnsi="Verdana" w:cs="Tahoma"/>
          <w:bCs/>
          <w:sz w:val="22"/>
          <w:szCs w:val="22"/>
          <w:lang w:eastAsia="it-IT"/>
        </w:rPr>
        <w:t>288.110,64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422618BF" w14:textId="5FF32734" w:rsidR="007C4AE3" w:rsidRDefault="00AF16F2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7C4AE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visto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l’art. 153</w:t>
      </w:r>
      <w:r w:rsidR="0093501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6625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 </w:t>
      </w:r>
      <w:bookmarkStart w:id="1" w:name="_GoBack"/>
      <w:bookmarkEnd w:id="1"/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decreto legge 19 maggio 2020, n. 34;</w:t>
      </w:r>
    </w:p>
    <w:p w14:paraId="0F42FD7D" w14:textId="4D86A99F" w:rsidR="00895609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posizioni I.N.P.S. ed I.N.A.I.L. delle imprese interessate come risulta da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lle</w:t>
      </w:r>
      <w:r w:rsidR="000170C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5E17B42D" w:rsidR="00334426" w:rsidRPr="00D8662C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D8662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D8662C">
        <w:rPr>
          <w:rFonts w:ascii="Verdana" w:eastAsia="Times New Roman" w:hAnsi="Verdana" w:cs="Tahoma"/>
          <w:bCs/>
          <w:sz w:val="22"/>
          <w:szCs w:val="22"/>
          <w:lang w:eastAsia="it-IT"/>
        </w:rPr>
        <w:t>, e che le imprese sono risultate non inadempienti;</w:t>
      </w:r>
    </w:p>
    <w:p w14:paraId="794D039B" w14:textId="5834CF69" w:rsidR="00BA6346" w:rsidRPr="008F51C9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favore delle imprese contraenti, 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035B4A">
        <w:rPr>
          <w:rFonts w:ascii="Verdana" w:eastAsia="Times New Roman" w:hAnsi="Verdana" w:cs="Tahoma"/>
          <w:bCs/>
          <w:sz w:val="22"/>
          <w:szCs w:val="22"/>
          <w:lang w:eastAsia="it-IT"/>
        </w:rPr>
        <w:t>11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riferito 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F4390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tutto il </w:t>
      </w:r>
      <w:r w:rsidR="00035B4A">
        <w:rPr>
          <w:rFonts w:ascii="Verdana" w:eastAsia="Times New Roman" w:hAnsi="Verdana" w:cs="Tahoma"/>
          <w:bCs/>
          <w:sz w:val="22"/>
          <w:szCs w:val="22"/>
          <w:lang w:eastAsia="it-IT"/>
        </w:rPr>
        <w:t>30 aprile 2020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8F51C9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8F51C9"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8F51C9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8F51C9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2F256A1D" w14:textId="60BEEB7C" w:rsidR="004209D3" w:rsidRPr="00E17B18" w:rsidRDefault="004209D3" w:rsidP="004209D3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bookmarkStart w:id="2" w:name="_Hlk1553485"/>
      <w:r w:rsidRPr="00A25183">
        <w:rPr>
          <w:rFonts w:ascii="Verdana" w:eastAsia="Calibri" w:hAnsi="Verdana"/>
          <w:sz w:val="22"/>
          <w:szCs w:val="22"/>
        </w:rPr>
        <w:t xml:space="preserve">di autorizzare il pagamento dello S.A.L n. </w:t>
      </w:r>
      <w:r>
        <w:rPr>
          <w:rFonts w:ascii="Verdana" w:eastAsia="Calibri" w:hAnsi="Verdana"/>
          <w:sz w:val="22"/>
          <w:szCs w:val="22"/>
        </w:rPr>
        <w:t>1</w:t>
      </w:r>
      <w:r w:rsidR="008A6F92">
        <w:rPr>
          <w:rFonts w:ascii="Verdana" w:eastAsia="Calibri" w:hAnsi="Verdana"/>
          <w:sz w:val="22"/>
          <w:szCs w:val="22"/>
        </w:rPr>
        <w:t>1</w:t>
      </w:r>
      <w:r>
        <w:rPr>
          <w:rFonts w:ascii="Verdana" w:eastAsia="Calibri" w:hAnsi="Verdana"/>
          <w:sz w:val="22"/>
          <w:szCs w:val="22"/>
        </w:rPr>
        <w:t xml:space="preserve"> per le attività di demolizione, per un importo complessivo di € </w:t>
      </w:r>
      <w:r w:rsidR="009D67E0" w:rsidRPr="009D67E0">
        <w:rPr>
          <w:rFonts w:ascii="Verdana" w:eastAsia="Calibri" w:hAnsi="Verdana"/>
          <w:sz w:val="22"/>
          <w:szCs w:val="22"/>
        </w:rPr>
        <w:t>321.223,64</w:t>
      </w:r>
      <w:r w:rsidRPr="00A25183">
        <w:rPr>
          <w:rFonts w:ascii="Verdana" w:eastAsia="Calibri" w:hAnsi="Verdana"/>
          <w:sz w:val="22"/>
          <w:szCs w:val="22"/>
        </w:rPr>
        <w:t xml:space="preserve">, riferito a tutto </w:t>
      </w:r>
      <w:r w:rsidR="008A6F92">
        <w:rPr>
          <w:rFonts w:ascii="Verdana" w:eastAsia="Calibri" w:hAnsi="Verdana"/>
          <w:sz w:val="22"/>
          <w:szCs w:val="22"/>
        </w:rPr>
        <w:t>il 30 aprile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20:</w:t>
      </w:r>
    </w:p>
    <w:p w14:paraId="49649FB2" w14:textId="77777777" w:rsidR="004209D3" w:rsidRPr="003E149B" w:rsidRDefault="004209D3" w:rsidP="004209D3">
      <w:pPr>
        <w:pStyle w:val="Paragrafoelenco"/>
        <w:spacing w:line="12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p w14:paraId="344F3C3E" w14:textId="2DC88B4E" w:rsidR="004209D3" w:rsidRDefault="004209D3" w:rsidP="004209D3">
      <w:pPr>
        <w:pStyle w:val="Paragrafoelenco"/>
        <w:numPr>
          <w:ilvl w:val="0"/>
          <w:numId w:val="8"/>
        </w:numPr>
        <w:ind w:left="1276" w:hanging="567"/>
        <w:jc w:val="both"/>
        <w:rPr>
          <w:rFonts w:ascii="Verdana" w:hAnsi="Verdana"/>
          <w:bCs/>
          <w:sz w:val="22"/>
          <w:szCs w:val="22"/>
        </w:rPr>
      </w:pPr>
      <w:r w:rsidRPr="00A25183">
        <w:rPr>
          <w:rFonts w:ascii="Verdana" w:hAnsi="Verdana"/>
          <w:bCs/>
          <w:sz w:val="22"/>
          <w:szCs w:val="22"/>
        </w:rPr>
        <w:t xml:space="preserve">per </w:t>
      </w:r>
      <w:r>
        <w:rPr>
          <w:rFonts w:ascii="Verdana" w:hAnsi="Verdana"/>
          <w:bCs/>
          <w:sz w:val="22"/>
          <w:szCs w:val="22"/>
        </w:rPr>
        <w:t xml:space="preserve">l’importo </w:t>
      </w:r>
      <w:r w:rsidRPr="00A25183">
        <w:rPr>
          <w:rFonts w:ascii="Verdana" w:hAnsi="Verdana"/>
          <w:bCs/>
          <w:sz w:val="22"/>
          <w:szCs w:val="22"/>
        </w:rPr>
        <w:t xml:space="preserve">di € </w:t>
      </w:r>
      <w:r w:rsidR="00C07112" w:rsidRPr="00C07112">
        <w:rPr>
          <w:rFonts w:ascii="Verdana" w:hAnsi="Verdana"/>
          <w:bCs/>
          <w:sz w:val="22"/>
          <w:szCs w:val="22"/>
        </w:rPr>
        <w:t>263.298,06</w:t>
      </w:r>
      <w:r w:rsidRPr="00A25183">
        <w:rPr>
          <w:rFonts w:ascii="Verdana" w:hAnsi="Verdana"/>
          <w:bCs/>
          <w:sz w:val="22"/>
          <w:szCs w:val="22"/>
        </w:rPr>
        <w:t>, al netto del recupero dell’anticipazione contrattuale, delle ritenute a garanzia e dell’I.V.A.</w:t>
      </w:r>
      <w:r>
        <w:rPr>
          <w:rFonts w:ascii="Verdana" w:hAnsi="Verdana"/>
          <w:bCs/>
          <w:sz w:val="22"/>
          <w:szCs w:val="22"/>
        </w:rPr>
        <w:t>;</w:t>
      </w:r>
    </w:p>
    <w:p w14:paraId="5EC6E26D" w14:textId="506F5A6A" w:rsidR="004209D3" w:rsidRPr="008A6100" w:rsidRDefault="004209D3" w:rsidP="004209D3">
      <w:pPr>
        <w:pStyle w:val="Paragrafoelenco"/>
        <w:numPr>
          <w:ilvl w:val="0"/>
          <w:numId w:val="8"/>
        </w:numPr>
        <w:ind w:left="1276" w:hanging="567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 w:rsidRPr="008D78E5">
        <w:rPr>
          <w:rFonts w:ascii="Verdana" w:hAnsi="Verdana"/>
          <w:bCs/>
          <w:sz w:val="22"/>
          <w:szCs w:val="22"/>
        </w:rPr>
        <w:t xml:space="preserve">per </w:t>
      </w:r>
      <w:r>
        <w:rPr>
          <w:rFonts w:ascii="Verdana" w:hAnsi="Verdana"/>
          <w:bCs/>
          <w:sz w:val="22"/>
          <w:szCs w:val="22"/>
        </w:rPr>
        <w:t>l’importo</w:t>
      </w:r>
      <w:r w:rsidRPr="008D78E5">
        <w:rPr>
          <w:rFonts w:ascii="Verdana" w:hAnsi="Verdana"/>
          <w:bCs/>
          <w:sz w:val="22"/>
          <w:szCs w:val="22"/>
        </w:rPr>
        <w:t xml:space="preserve"> di € </w:t>
      </w:r>
      <w:r w:rsidR="001E1F16" w:rsidRPr="001E1F16">
        <w:rPr>
          <w:rFonts w:ascii="Verdana" w:hAnsi="Verdana"/>
          <w:bCs/>
          <w:sz w:val="22"/>
          <w:szCs w:val="22"/>
        </w:rPr>
        <w:t>57.925,58</w:t>
      </w:r>
      <w:r w:rsidR="001E1F1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-</w:t>
      </w:r>
      <w:r w:rsidRPr="00A25183">
        <w:rPr>
          <w:rFonts w:ascii="Verdana" w:hAnsi="Verdana"/>
          <w:bCs/>
          <w:sz w:val="22"/>
          <w:szCs w:val="22"/>
        </w:rPr>
        <w:t xml:space="preserve"> </w:t>
      </w:r>
      <w:r w:rsidRPr="005C7F44">
        <w:rPr>
          <w:rFonts w:ascii="Verdana" w:hAnsi="Verdana"/>
          <w:bCs/>
          <w:sz w:val="22"/>
          <w:szCs w:val="22"/>
        </w:rPr>
        <w:t>I.V.A.</w:t>
      </w:r>
      <w:r>
        <w:rPr>
          <w:rFonts w:ascii="Verdana" w:hAnsi="Verdana"/>
          <w:bCs/>
          <w:sz w:val="22"/>
          <w:szCs w:val="22"/>
        </w:rPr>
        <w:t xml:space="preserve"> del 22% </w:t>
      </w:r>
    </w:p>
    <w:p w14:paraId="0EE94984" w14:textId="77777777" w:rsidR="004209D3" w:rsidRPr="003E149B" w:rsidRDefault="004209D3" w:rsidP="004209D3">
      <w:pPr>
        <w:pStyle w:val="Paragrafoelenco"/>
        <w:ind w:left="1276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 w:rsidRPr="003E149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</w:p>
    <w:p w14:paraId="26B5FF3B" w14:textId="77777777" w:rsidR="004209D3" w:rsidRPr="00A25183" w:rsidRDefault="004209D3" w:rsidP="004209D3">
      <w:pPr>
        <w:pStyle w:val="Paragrafoelenc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 w:rsidRPr="00A25183">
        <w:rPr>
          <w:rFonts w:ascii="Verdana" w:eastAsia="Calibri" w:hAnsi="Verdana"/>
          <w:sz w:val="22"/>
          <w:szCs w:val="22"/>
        </w:rPr>
        <w:t>in favore delle imprese sottoelencate</w:t>
      </w:r>
      <w:r>
        <w:rPr>
          <w:rFonts w:ascii="Verdana" w:eastAsia="Calibri" w:hAnsi="Verdana"/>
          <w:sz w:val="22"/>
          <w:szCs w:val="22"/>
        </w:rPr>
        <w:t xml:space="preserve"> e dell’Erario</w:t>
      </w:r>
      <w:r w:rsidRPr="00A25183">
        <w:rPr>
          <w:rFonts w:ascii="Verdana" w:eastAsia="Calibri" w:hAnsi="Verdana"/>
          <w:sz w:val="22"/>
          <w:szCs w:val="22"/>
        </w:rPr>
        <w:t xml:space="preserve">, </w:t>
      </w:r>
      <w:r>
        <w:rPr>
          <w:rFonts w:ascii="Verdana" w:eastAsia="Calibri" w:hAnsi="Verdana"/>
          <w:sz w:val="22"/>
          <w:szCs w:val="22"/>
        </w:rPr>
        <w:t>come di seguito specificato:</w:t>
      </w:r>
    </w:p>
    <w:p w14:paraId="2F0D4FB4" w14:textId="77777777" w:rsidR="004209D3" w:rsidRPr="00A25183" w:rsidRDefault="004209D3" w:rsidP="004209D3">
      <w:pPr>
        <w:pStyle w:val="Paragrafoelenc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bookmarkEnd w:id="2"/>
    <w:p w14:paraId="2CB77AFE" w14:textId="6570F499" w:rsidR="004209D3" w:rsidRDefault="004209D3" w:rsidP="004209D3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Fratelli Omini S.p.A.,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A25183">
        <w:rPr>
          <w:rFonts w:ascii="Verdana" w:eastAsia="Calibri" w:hAnsi="Verdana"/>
          <w:sz w:val="22"/>
          <w:szCs w:val="22"/>
        </w:rPr>
        <w:t xml:space="preserve">per attività di cantierizzazione, demolizione in genere e fornitura di carpenterie - € </w:t>
      </w:r>
      <w:r w:rsidR="00F36201" w:rsidRPr="00F36201">
        <w:rPr>
          <w:rFonts w:ascii="Verdana" w:eastAsia="Calibri" w:hAnsi="Verdana"/>
          <w:sz w:val="22"/>
          <w:szCs w:val="22"/>
        </w:rPr>
        <w:t>27.141,80</w:t>
      </w:r>
    </w:p>
    <w:p w14:paraId="15F62A82" w14:textId="6150DABC" w:rsidR="004209D3" w:rsidRDefault="004209D3" w:rsidP="004209D3">
      <w:pPr>
        <w:pStyle w:val="Paragrafoelenco"/>
        <w:spacing w:line="276" w:lineRule="auto"/>
        <w:ind w:left="1418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Erario per </w:t>
      </w:r>
      <w:r w:rsidRPr="006A2A15">
        <w:rPr>
          <w:rFonts w:ascii="Verdana" w:eastAsia="Calibri" w:hAnsi="Verdana"/>
          <w:sz w:val="22"/>
          <w:szCs w:val="22"/>
        </w:rPr>
        <w:t xml:space="preserve">I.V.A. del 22% </w:t>
      </w:r>
      <w:r>
        <w:rPr>
          <w:rFonts w:ascii="Verdana" w:eastAsia="Calibri" w:hAnsi="Verdana"/>
          <w:sz w:val="22"/>
          <w:szCs w:val="22"/>
        </w:rPr>
        <w:t xml:space="preserve">pari ad </w:t>
      </w:r>
      <w:r w:rsidRPr="00A25183">
        <w:rPr>
          <w:rFonts w:ascii="Verdana" w:eastAsia="Calibri" w:hAnsi="Verdana"/>
          <w:sz w:val="22"/>
          <w:szCs w:val="22"/>
        </w:rPr>
        <w:t xml:space="preserve">€ </w:t>
      </w:r>
      <w:r w:rsidR="0049257F" w:rsidRPr="0049257F">
        <w:rPr>
          <w:rFonts w:ascii="Verdana" w:eastAsia="Calibri" w:hAnsi="Verdana"/>
          <w:sz w:val="22"/>
          <w:szCs w:val="22"/>
        </w:rPr>
        <w:t>5.971,20</w:t>
      </w:r>
      <w:r w:rsidR="0049257F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dovuta per le prestazioni di cui sopra</w:t>
      </w:r>
      <w:r w:rsidRPr="00A25183">
        <w:rPr>
          <w:rFonts w:ascii="Verdana" w:eastAsia="Calibri" w:hAnsi="Verdana"/>
          <w:sz w:val="22"/>
          <w:szCs w:val="22"/>
        </w:rPr>
        <w:t>;</w:t>
      </w:r>
    </w:p>
    <w:p w14:paraId="1FC9749A" w14:textId="77777777" w:rsidR="004209D3" w:rsidRPr="00A25183" w:rsidRDefault="004209D3" w:rsidP="004209D3">
      <w:pPr>
        <w:pStyle w:val="Paragrafoelenco"/>
        <w:spacing w:line="120" w:lineRule="aut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0E8AF457" w14:textId="5B9C1BD6" w:rsidR="004209D3" w:rsidRDefault="004209D3" w:rsidP="004209D3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 xml:space="preserve">Ireos S.p.A., per attività di gestione rifiuti, monitoraggi ambientali, bonifica di amianto, </w:t>
      </w:r>
      <w:r w:rsidRPr="00A25183">
        <w:rPr>
          <w:rFonts w:ascii="Verdana" w:eastAsia="Calibri" w:hAnsi="Verdana"/>
          <w:i/>
          <w:sz w:val="22"/>
          <w:szCs w:val="22"/>
        </w:rPr>
        <w:t>strip-out</w:t>
      </w:r>
      <w:r w:rsidRPr="00A25183">
        <w:rPr>
          <w:rFonts w:ascii="Verdana" w:eastAsia="Calibri" w:hAnsi="Verdana"/>
          <w:sz w:val="22"/>
          <w:szCs w:val="22"/>
        </w:rPr>
        <w:t xml:space="preserve"> degli edifici - € </w:t>
      </w:r>
      <w:r w:rsidR="007170F3" w:rsidRPr="007170F3">
        <w:rPr>
          <w:rFonts w:ascii="Verdana" w:eastAsia="Calibri" w:hAnsi="Verdana"/>
          <w:sz w:val="22"/>
          <w:szCs w:val="22"/>
        </w:rPr>
        <w:t>236.156,26</w:t>
      </w:r>
    </w:p>
    <w:p w14:paraId="03CC7085" w14:textId="41547316" w:rsidR="004209D3" w:rsidRPr="00A25183" w:rsidRDefault="004209D3" w:rsidP="004209D3">
      <w:pPr>
        <w:pStyle w:val="Paragrafoelenco"/>
        <w:spacing w:line="276" w:lineRule="auto"/>
        <w:ind w:left="1418"/>
        <w:jc w:val="both"/>
        <w:rPr>
          <w:rFonts w:ascii="Verdana" w:eastAsia="Calibri" w:hAnsi="Verdana"/>
          <w:sz w:val="22"/>
          <w:szCs w:val="22"/>
        </w:rPr>
      </w:pPr>
      <w:r w:rsidRPr="00C61489">
        <w:rPr>
          <w:rFonts w:ascii="Verdana" w:eastAsia="Calibri" w:hAnsi="Verdana"/>
          <w:sz w:val="22"/>
          <w:szCs w:val="22"/>
        </w:rPr>
        <w:t xml:space="preserve">Erario per I.V.A. </w:t>
      </w:r>
      <w:r>
        <w:rPr>
          <w:rFonts w:ascii="Verdana" w:eastAsia="Calibri" w:hAnsi="Verdana"/>
          <w:sz w:val="22"/>
          <w:szCs w:val="22"/>
        </w:rPr>
        <w:t xml:space="preserve">del 22% </w:t>
      </w:r>
      <w:r w:rsidRPr="00646CB1">
        <w:rPr>
          <w:rFonts w:ascii="Verdana" w:eastAsia="Calibri" w:hAnsi="Verdana"/>
          <w:sz w:val="22"/>
          <w:szCs w:val="22"/>
        </w:rPr>
        <w:t xml:space="preserve">pari ad </w:t>
      </w:r>
      <w:r w:rsidRPr="00A25183">
        <w:rPr>
          <w:rFonts w:ascii="Verdana" w:eastAsia="Calibri" w:hAnsi="Verdana"/>
          <w:sz w:val="22"/>
          <w:szCs w:val="22"/>
        </w:rPr>
        <w:t xml:space="preserve">€ </w:t>
      </w:r>
      <w:r w:rsidR="00E61EC1" w:rsidRPr="00E61EC1">
        <w:rPr>
          <w:rFonts w:ascii="Verdana" w:eastAsia="Calibri" w:hAnsi="Verdana"/>
          <w:sz w:val="22"/>
          <w:szCs w:val="22"/>
        </w:rPr>
        <w:t>51.954,38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FD16F8">
        <w:rPr>
          <w:rFonts w:ascii="Verdana" w:eastAsia="Calibri" w:hAnsi="Verdana"/>
          <w:sz w:val="22"/>
          <w:szCs w:val="22"/>
        </w:rPr>
        <w:t>dovuta per le prestazioni di cui sopra</w:t>
      </w:r>
      <w:r w:rsidRPr="00A25183">
        <w:rPr>
          <w:rFonts w:ascii="Verdana" w:eastAsia="Calibri" w:hAnsi="Verdana"/>
          <w:sz w:val="22"/>
          <w:szCs w:val="22"/>
        </w:rPr>
        <w:t>;</w:t>
      </w:r>
    </w:p>
    <w:p w14:paraId="550559A9" w14:textId="77777777" w:rsidR="004209D3" w:rsidRPr="00A25183" w:rsidRDefault="004209D3" w:rsidP="004209D3">
      <w:pPr>
        <w:pStyle w:val="Paragrafoelenco"/>
        <w:spacing w:before="200" w:after="200" w:line="120" w:lineRule="aut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09C6C54B" w14:textId="77777777" w:rsidR="004209D3" w:rsidRPr="00A25183" w:rsidRDefault="004209D3" w:rsidP="004209D3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298B74FC" w14:textId="77777777" w:rsidR="004209D3" w:rsidRPr="00A25183" w:rsidRDefault="004209D3" w:rsidP="004209D3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03AAE825" w14:textId="3DA8226B" w:rsidR="00F30277" w:rsidRDefault="004209D3" w:rsidP="001A4B7D">
      <w:pPr>
        <w:spacing w:line="276" w:lineRule="auto"/>
        <w:jc w:val="center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</w:p>
    <w:p w14:paraId="763D2854" w14:textId="77777777" w:rsidR="001A4B7D" w:rsidRPr="008F51C9" w:rsidRDefault="001A4B7D" w:rsidP="001A4B7D">
      <w:pPr>
        <w:spacing w:line="276" w:lineRule="auto"/>
        <w:jc w:val="center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8F51C9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 xml:space="preserve">Il </w:t>
      </w:r>
      <w:r w:rsidRPr="008F51C9">
        <w:rPr>
          <w:rFonts w:ascii="Verdana" w:eastAsia="Calibri" w:hAnsi="Verdana"/>
          <w:bCs/>
          <w:i/>
          <w:sz w:val="22"/>
          <w:szCs w:val="22"/>
        </w:rPr>
        <w:t>sub</w:t>
      </w:r>
      <w:r w:rsidRPr="008F51C9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3E92EA59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8F51C9">
        <w:rPr>
          <w:rFonts w:ascii="Verdana" w:eastAsia="Calibri" w:hAnsi="Verdana"/>
          <w:bCs/>
          <w:sz w:val="22"/>
          <w:szCs w:val="22"/>
        </w:rPr>
        <w:t xml:space="preserve">    </w:t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="00F30277" w:rsidRPr="008F51C9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8F51C9">
        <w:rPr>
          <w:rFonts w:ascii="Verdana" w:eastAsia="Calibri" w:hAnsi="Verdana"/>
          <w:bCs/>
          <w:sz w:val="22"/>
          <w:szCs w:val="22"/>
        </w:rPr>
        <w:t>Piero Floreani</w:t>
      </w:r>
    </w:p>
    <w:p w14:paraId="25353386" w14:textId="10B18E37" w:rsidR="00134B54" w:rsidRDefault="00134B54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</w:p>
    <w:sectPr w:rsidR="00134B54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96D8" w14:textId="77777777" w:rsidR="009D4F83" w:rsidRDefault="009D4F83">
      <w:r>
        <w:separator/>
      </w:r>
    </w:p>
  </w:endnote>
  <w:endnote w:type="continuationSeparator" w:id="0">
    <w:p w14:paraId="671C5227" w14:textId="77777777" w:rsidR="009D4F83" w:rsidRDefault="009D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46625F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DD89" w14:textId="77777777" w:rsidR="009D4F83" w:rsidRDefault="009D4F83">
      <w:r>
        <w:separator/>
      </w:r>
    </w:p>
  </w:footnote>
  <w:footnote w:type="continuationSeparator" w:id="0">
    <w:p w14:paraId="2D8D2C28" w14:textId="77777777" w:rsidR="009D4F83" w:rsidRDefault="009D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46625F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4662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46625F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46625F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2AB"/>
    <w:multiLevelType w:val="hybridMultilevel"/>
    <w:tmpl w:val="20B412B6"/>
    <w:lvl w:ilvl="0" w:tplc="0410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AA3614"/>
    <w:multiLevelType w:val="hybridMultilevel"/>
    <w:tmpl w:val="BCB60298"/>
    <w:lvl w:ilvl="0" w:tplc="0410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068A4"/>
    <w:multiLevelType w:val="hybridMultilevel"/>
    <w:tmpl w:val="2F728A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7727"/>
    <w:rsid w:val="00035774"/>
    <w:rsid w:val="00035B4A"/>
    <w:rsid w:val="0005155E"/>
    <w:rsid w:val="000625F3"/>
    <w:rsid w:val="0008130F"/>
    <w:rsid w:val="00086CBE"/>
    <w:rsid w:val="00087A36"/>
    <w:rsid w:val="000922A3"/>
    <w:rsid w:val="000A17C7"/>
    <w:rsid w:val="000C5BEE"/>
    <w:rsid w:val="000C6820"/>
    <w:rsid w:val="000D270D"/>
    <w:rsid w:val="000F01A0"/>
    <w:rsid w:val="000F3607"/>
    <w:rsid w:val="000F3AAA"/>
    <w:rsid w:val="00113C5C"/>
    <w:rsid w:val="0012681D"/>
    <w:rsid w:val="0013007A"/>
    <w:rsid w:val="00134B54"/>
    <w:rsid w:val="00165453"/>
    <w:rsid w:val="0016717B"/>
    <w:rsid w:val="00176BFB"/>
    <w:rsid w:val="0018558E"/>
    <w:rsid w:val="00192E11"/>
    <w:rsid w:val="001937E3"/>
    <w:rsid w:val="001941D6"/>
    <w:rsid w:val="00195106"/>
    <w:rsid w:val="001A4B7D"/>
    <w:rsid w:val="001B5076"/>
    <w:rsid w:val="001B61B2"/>
    <w:rsid w:val="001C1878"/>
    <w:rsid w:val="001D68ED"/>
    <w:rsid w:val="001E1F16"/>
    <w:rsid w:val="001F0F53"/>
    <w:rsid w:val="001F1042"/>
    <w:rsid w:val="001F2F8B"/>
    <w:rsid w:val="0020568F"/>
    <w:rsid w:val="00220BA1"/>
    <w:rsid w:val="00221FC7"/>
    <w:rsid w:val="00230799"/>
    <w:rsid w:val="00231A10"/>
    <w:rsid w:val="00247BD2"/>
    <w:rsid w:val="00253BAD"/>
    <w:rsid w:val="00254F49"/>
    <w:rsid w:val="00273D19"/>
    <w:rsid w:val="0028752E"/>
    <w:rsid w:val="00287ECA"/>
    <w:rsid w:val="002A3E1D"/>
    <w:rsid w:val="002A71F6"/>
    <w:rsid w:val="002B357B"/>
    <w:rsid w:val="002C5F2F"/>
    <w:rsid w:val="002D6145"/>
    <w:rsid w:val="002E0084"/>
    <w:rsid w:val="002F6FFC"/>
    <w:rsid w:val="003016C6"/>
    <w:rsid w:val="003125E2"/>
    <w:rsid w:val="003179A2"/>
    <w:rsid w:val="00327807"/>
    <w:rsid w:val="00331706"/>
    <w:rsid w:val="00331BF2"/>
    <w:rsid w:val="003338E4"/>
    <w:rsid w:val="00334426"/>
    <w:rsid w:val="0036154D"/>
    <w:rsid w:val="00367D10"/>
    <w:rsid w:val="00372287"/>
    <w:rsid w:val="00385596"/>
    <w:rsid w:val="00397A07"/>
    <w:rsid w:val="003A294C"/>
    <w:rsid w:val="003B429D"/>
    <w:rsid w:val="003C1754"/>
    <w:rsid w:val="003C32D2"/>
    <w:rsid w:val="003D34FA"/>
    <w:rsid w:val="003D6891"/>
    <w:rsid w:val="003E0187"/>
    <w:rsid w:val="003E55E8"/>
    <w:rsid w:val="004209D3"/>
    <w:rsid w:val="0043404B"/>
    <w:rsid w:val="00436CED"/>
    <w:rsid w:val="0044323F"/>
    <w:rsid w:val="00447060"/>
    <w:rsid w:val="00465E40"/>
    <w:rsid w:val="0046625F"/>
    <w:rsid w:val="0047120A"/>
    <w:rsid w:val="0049257F"/>
    <w:rsid w:val="004A6D97"/>
    <w:rsid w:val="004C01FB"/>
    <w:rsid w:val="004C31DD"/>
    <w:rsid w:val="004D0314"/>
    <w:rsid w:val="004F2AE7"/>
    <w:rsid w:val="004F5800"/>
    <w:rsid w:val="00506DC9"/>
    <w:rsid w:val="0051368D"/>
    <w:rsid w:val="00515FA5"/>
    <w:rsid w:val="00515FAD"/>
    <w:rsid w:val="00534EA6"/>
    <w:rsid w:val="005356D6"/>
    <w:rsid w:val="00543391"/>
    <w:rsid w:val="00544A2D"/>
    <w:rsid w:val="00547BBB"/>
    <w:rsid w:val="00553D03"/>
    <w:rsid w:val="00566102"/>
    <w:rsid w:val="00572636"/>
    <w:rsid w:val="00572EEC"/>
    <w:rsid w:val="00577619"/>
    <w:rsid w:val="005A086B"/>
    <w:rsid w:val="005A12FF"/>
    <w:rsid w:val="005A79A8"/>
    <w:rsid w:val="005B4C89"/>
    <w:rsid w:val="005C4016"/>
    <w:rsid w:val="005E7334"/>
    <w:rsid w:val="005F52D3"/>
    <w:rsid w:val="005F5F1D"/>
    <w:rsid w:val="0060296A"/>
    <w:rsid w:val="00602DCD"/>
    <w:rsid w:val="00613551"/>
    <w:rsid w:val="006148C0"/>
    <w:rsid w:val="00615CDA"/>
    <w:rsid w:val="00627587"/>
    <w:rsid w:val="00633942"/>
    <w:rsid w:val="00636F68"/>
    <w:rsid w:val="0064272B"/>
    <w:rsid w:val="00642861"/>
    <w:rsid w:val="00642B47"/>
    <w:rsid w:val="006438D5"/>
    <w:rsid w:val="0065649D"/>
    <w:rsid w:val="006568F0"/>
    <w:rsid w:val="00656CA4"/>
    <w:rsid w:val="00690DDB"/>
    <w:rsid w:val="00690F42"/>
    <w:rsid w:val="006934D8"/>
    <w:rsid w:val="00695591"/>
    <w:rsid w:val="006A6FBB"/>
    <w:rsid w:val="006A7414"/>
    <w:rsid w:val="006B04C6"/>
    <w:rsid w:val="006B2C2A"/>
    <w:rsid w:val="006C1693"/>
    <w:rsid w:val="006C1947"/>
    <w:rsid w:val="006F2CB6"/>
    <w:rsid w:val="006F7142"/>
    <w:rsid w:val="007062BA"/>
    <w:rsid w:val="00715EDA"/>
    <w:rsid w:val="007170F3"/>
    <w:rsid w:val="007240BD"/>
    <w:rsid w:val="00724AA8"/>
    <w:rsid w:val="00724FFB"/>
    <w:rsid w:val="00725F4A"/>
    <w:rsid w:val="00726EBC"/>
    <w:rsid w:val="00734F37"/>
    <w:rsid w:val="00754907"/>
    <w:rsid w:val="007562D0"/>
    <w:rsid w:val="00776087"/>
    <w:rsid w:val="00777F48"/>
    <w:rsid w:val="00784DBF"/>
    <w:rsid w:val="007861B6"/>
    <w:rsid w:val="007872B9"/>
    <w:rsid w:val="00794BDA"/>
    <w:rsid w:val="007A54C5"/>
    <w:rsid w:val="007B12E5"/>
    <w:rsid w:val="007B427D"/>
    <w:rsid w:val="007C35EA"/>
    <w:rsid w:val="007C4AE3"/>
    <w:rsid w:val="007C6A1E"/>
    <w:rsid w:val="007D3972"/>
    <w:rsid w:val="007F03F8"/>
    <w:rsid w:val="007F3BAF"/>
    <w:rsid w:val="008477B7"/>
    <w:rsid w:val="00857AB6"/>
    <w:rsid w:val="008615B7"/>
    <w:rsid w:val="00862F76"/>
    <w:rsid w:val="00872BFC"/>
    <w:rsid w:val="00873B59"/>
    <w:rsid w:val="0087785A"/>
    <w:rsid w:val="0088306F"/>
    <w:rsid w:val="00884790"/>
    <w:rsid w:val="00893D01"/>
    <w:rsid w:val="00895609"/>
    <w:rsid w:val="008A2F8D"/>
    <w:rsid w:val="008A4C1F"/>
    <w:rsid w:val="008A6F92"/>
    <w:rsid w:val="008B1668"/>
    <w:rsid w:val="008B5E15"/>
    <w:rsid w:val="008B5FEF"/>
    <w:rsid w:val="008C4F96"/>
    <w:rsid w:val="008D22F4"/>
    <w:rsid w:val="008D7F6C"/>
    <w:rsid w:val="008E3872"/>
    <w:rsid w:val="008E5714"/>
    <w:rsid w:val="008F51C9"/>
    <w:rsid w:val="009005BC"/>
    <w:rsid w:val="00903E2F"/>
    <w:rsid w:val="00904C36"/>
    <w:rsid w:val="00917C88"/>
    <w:rsid w:val="009212D8"/>
    <w:rsid w:val="00922AC8"/>
    <w:rsid w:val="00925683"/>
    <w:rsid w:val="00935010"/>
    <w:rsid w:val="00952D78"/>
    <w:rsid w:val="009563AA"/>
    <w:rsid w:val="00971356"/>
    <w:rsid w:val="00973E82"/>
    <w:rsid w:val="00980421"/>
    <w:rsid w:val="00980C9C"/>
    <w:rsid w:val="00981A58"/>
    <w:rsid w:val="00984B5A"/>
    <w:rsid w:val="00987CE0"/>
    <w:rsid w:val="00997FF3"/>
    <w:rsid w:val="009A39A1"/>
    <w:rsid w:val="009B2D16"/>
    <w:rsid w:val="009B784C"/>
    <w:rsid w:val="009C50CB"/>
    <w:rsid w:val="009C5D34"/>
    <w:rsid w:val="009C5E15"/>
    <w:rsid w:val="009D0C8A"/>
    <w:rsid w:val="009D23D5"/>
    <w:rsid w:val="009D4F83"/>
    <w:rsid w:val="009D67E0"/>
    <w:rsid w:val="009E3ADB"/>
    <w:rsid w:val="009E4E23"/>
    <w:rsid w:val="009E4F39"/>
    <w:rsid w:val="009E6EE2"/>
    <w:rsid w:val="009F3384"/>
    <w:rsid w:val="00A13AC1"/>
    <w:rsid w:val="00A207D7"/>
    <w:rsid w:val="00A2112D"/>
    <w:rsid w:val="00A23D97"/>
    <w:rsid w:val="00A33B94"/>
    <w:rsid w:val="00A35885"/>
    <w:rsid w:val="00A42994"/>
    <w:rsid w:val="00A465D9"/>
    <w:rsid w:val="00A51406"/>
    <w:rsid w:val="00A60AF7"/>
    <w:rsid w:val="00A62358"/>
    <w:rsid w:val="00A648E8"/>
    <w:rsid w:val="00A8000D"/>
    <w:rsid w:val="00A8311E"/>
    <w:rsid w:val="00A8685D"/>
    <w:rsid w:val="00A90E6C"/>
    <w:rsid w:val="00A949A7"/>
    <w:rsid w:val="00AA003E"/>
    <w:rsid w:val="00AA7340"/>
    <w:rsid w:val="00AB20AF"/>
    <w:rsid w:val="00AB5412"/>
    <w:rsid w:val="00AD0A1A"/>
    <w:rsid w:val="00AD3AAA"/>
    <w:rsid w:val="00AD4D80"/>
    <w:rsid w:val="00AE0397"/>
    <w:rsid w:val="00AF0EB9"/>
    <w:rsid w:val="00AF16F2"/>
    <w:rsid w:val="00B22F30"/>
    <w:rsid w:val="00B26973"/>
    <w:rsid w:val="00B4021C"/>
    <w:rsid w:val="00B443F3"/>
    <w:rsid w:val="00B56397"/>
    <w:rsid w:val="00B56516"/>
    <w:rsid w:val="00B604EE"/>
    <w:rsid w:val="00B63E21"/>
    <w:rsid w:val="00B70C40"/>
    <w:rsid w:val="00B72041"/>
    <w:rsid w:val="00B728E8"/>
    <w:rsid w:val="00B737F6"/>
    <w:rsid w:val="00B85578"/>
    <w:rsid w:val="00B86F69"/>
    <w:rsid w:val="00BA21A6"/>
    <w:rsid w:val="00BA6346"/>
    <w:rsid w:val="00BB23EB"/>
    <w:rsid w:val="00BC1B81"/>
    <w:rsid w:val="00BD3837"/>
    <w:rsid w:val="00BD3A24"/>
    <w:rsid w:val="00BD41AA"/>
    <w:rsid w:val="00BE5F21"/>
    <w:rsid w:val="00BF2EDB"/>
    <w:rsid w:val="00BF2F0F"/>
    <w:rsid w:val="00C07112"/>
    <w:rsid w:val="00C2571E"/>
    <w:rsid w:val="00C2722F"/>
    <w:rsid w:val="00C340DC"/>
    <w:rsid w:val="00C5121E"/>
    <w:rsid w:val="00C5248A"/>
    <w:rsid w:val="00C64528"/>
    <w:rsid w:val="00C67C85"/>
    <w:rsid w:val="00C67DFD"/>
    <w:rsid w:val="00C701B6"/>
    <w:rsid w:val="00C708EE"/>
    <w:rsid w:val="00C80FD8"/>
    <w:rsid w:val="00C90A37"/>
    <w:rsid w:val="00C919FE"/>
    <w:rsid w:val="00C91ADD"/>
    <w:rsid w:val="00CA4BFD"/>
    <w:rsid w:val="00CC7FEF"/>
    <w:rsid w:val="00CD00FA"/>
    <w:rsid w:val="00CD5DA2"/>
    <w:rsid w:val="00CD74DD"/>
    <w:rsid w:val="00CE4DE1"/>
    <w:rsid w:val="00CE6ED2"/>
    <w:rsid w:val="00D22CD9"/>
    <w:rsid w:val="00D34798"/>
    <w:rsid w:val="00D369DE"/>
    <w:rsid w:val="00D4065C"/>
    <w:rsid w:val="00D45585"/>
    <w:rsid w:val="00D6535E"/>
    <w:rsid w:val="00D65638"/>
    <w:rsid w:val="00D74C2A"/>
    <w:rsid w:val="00D85F1E"/>
    <w:rsid w:val="00D8662C"/>
    <w:rsid w:val="00D87BA9"/>
    <w:rsid w:val="00D95326"/>
    <w:rsid w:val="00DA6494"/>
    <w:rsid w:val="00DD74F0"/>
    <w:rsid w:val="00DE391A"/>
    <w:rsid w:val="00DE3BDC"/>
    <w:rsid w:val="00DF3664"/>
    <w:rsid w:val="00DF51F7"/>
    <w:rsid w:val="00E11BC0"/>
    <w:rsid w:val="00E153D5"/>
    <w:rsid w:val="00E20A17"/>
    <w:rsid w:val="00E2248E"/>
    <w:rsid w:val="00E337B7"/>
    <w:rsid w:val="00E61EC1"/>
    <w:rsid w:val="00E63133"/>
    <w:rsid w:val="00E722CE"/>
    <w:rsid w:val="00E91733"/>
    <w:rsid w:val="00E94535"/>
    <w:rsid w:val="00EA2469"/>
    <w:rsid w:val="00EA2919"/>
    <w:rsid w:val="00EE33B4"/>
    <w:rsid w:val="00EE5E89"/>
    <w:rsid w:val="00EF2B0B"/>
    <w:rsid w:val="00EF420B"/>
    <w:rsid w:val="00F01A57"/>
    <w:rsid w:val="00F1010C"/>
    <w:rsid w:val="00F22664"/>
    <w:rsid w:val="00F24889"/>
    <w:rsid w:val="00F30277"/>
    <w:rsid w:val="00F33DB8"/>
    <w:rsid w:val="00F34ADD"/>
    <w:rsid w:val="00F36201"/>
    <w:rsid w:val="00F432A1"/>
    <w:rsid w:val="00F4390C"/>
    <w:rsid w:val="00F44E36"/>
    <w:rsid w:val="00F53213"/>
    <w:rsid w:val="00F576F4"/>
    <w:rsid w:val="00F61AF2"/>
    <w:rsid w:val="00F644A1"/>
    <w:rsid w:val="00F82E39"/>
    <w:rsid w:val="00F844CD"/>
    <w:rsid w:val="00F86DAF"/>
    <w:rsid w:val="00F90202"/>
    <w:rsid w:val="00FB6A14"/>
    <w:rsid w:val="00FB6E92"/>
    <w:rsid w:val="00FB7370"/>
    <w:rsid w:val="00FD153C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4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40B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1" ma:contentTypeDescription="Creare un nuovo documento." ma:contentTypeScope="" ma:versionID="0e961f1731f64f577283f5b7ab408a57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4e7fa0d9eb5366b6794930f38e6becfd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9F4F-E956-432B-BAF6-C889C78269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5d1139-0cf0-4db5-aae4-64415abb2cb1"/>
    <ds:schemaRef ds:uri="http://purl.org/dc/elements/1.1/"/>
    <ds:schemaRef ds:uri="http://schemas.microsoft.com/office/2006/metadata/properties"/>
    <ds:schemaRef ds:uri="382065fb-d3b1-4c39-bc98-dc9240827d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0E221A-5A62-43DB-942D-196C405B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DB3A9-0405-42AF-BDBA-906B953F7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D4693-926A-4736-9384-39C80305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/>
      <vt:lpstr>Prot. n. DSC1/2020/</vt:lpstr>
      <vt:lpstr>del  27/01/2020     </vt:lpstr>
      <vt:lpstr>- visto il contratto di appalto pubblico n. 2 del 18 gennaio 2019 stipulato dal 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/>
      <vt:lpstr>- visto il decreto del Commissario straordinario n. 36 del 2 ottobre 2019 recant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67</cp:revision>
  <cp:lastPrinted>2019-03-21T15:43:00Z</cp:lastPrinted>
  <dcterms:created xsi:type="dcterms:W3CDTF">2019-10-16T07:53:00Z</dcterms:created>
  <dcterms:modified xsi:type="dcterms:W3CDTF">2020-05-22T14:02:00Z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